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79F9" w14:textId="3B6A1993" w:rsidR="00761DD5" w:rsidRPr="005A6E85" w:rsidRDefault="005A6E85" w:rsidP="008A1BF9">
      <w:pPr>
        <w:pStyle w:val="BodyText"/>
        <w:spacing w:after="160"/>
        <w:ind w:right="43"/>
        <w:jc w:val="center"/>
        <w:rPr>
          <w:rFonts w:ascii="Palatino Linotype" w:hAnsi="Palatino Linotype"/>
          <w:b/>
          <w:color w:val="153D63" w:themeColor="text2" w:themeTint="E6"/>
          <w:sz w:val="28"/>
          <w:szCs w:val="28"/>
        </w:rPr>
      </w:pPr>
      <w:r w:rsidRPr="005A6E85">
        <w:rPr>
          <w:rFonts w:ascii="Palatino Linotype" w:hAnsi="Palatino Linotype"/>
          <w:b/>
          <w:color w:val="153D63" w:themeColor="text2" w:themeTint="E6"/>
          <w:sz w:val="28"/>
          <w:szCs w:val="28"/>
        </w:rPr>
        <w:t>EVC RAA SAMPLE UTILITY LETTER</w:t>
      </w:r>
    </w:p>
    <w:p w14:paraId="09C01CCB" w14:textId="10906822" w:rsidR="00813819" w:rsidRPr="008A1BF9" w:rsidRDefault="00813819" w:rsidP="00813819">
      <w:pPr>
        <w:pStyle w:val="BodyText"/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ODOT required Applicants to demonstrate that they have contacted the applicable utilities for each proposed charging station in their application. At a minimum, applicants must demonstrate:</w:t>
      </w:r>
    </w:p>
    <w:p w14:paraId="3954D2B6" w14:textId="77777777" w:rsidR="00813819" w:rsidRPr="008A1BF9" w:rsidRDefault="00813819" w:rsidP="00813819">
      <w:pPr>
        <w:pStyle w:val="BodyText"/>
        <w:numPr>
          <w:ilvl w:val="0"/>
          <w:numId w:val="10"/>
        </w:numPr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Confirmation from the utility that the applicant has contacted it regarding the proposed charging station location.</w:t>
      </w:r>
    </w:p>
    <w:p w14:paraId="5E73EBAF" w14:textId="789CFAF7" w:rsidR="00813819" w:rsidRPr="008A1BF9" w:rsidRDefault="00813819" w:rsidP="00813819">
      <w:pPr>
        <w:pStyle w:val="BodyText"/>
        <w:numPr>
          <w:ilvl w:val="0"/>
          <w:numId w:val="10"/>
        </w:numPr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The Utility has provided any applicable Site Information identified in Attachment 9, Utility Information.</w:t>
      </w:r>
    </w:p>
    <w:p w14:paraId="203A3AAB" w14:textId="065D18AE" w:rsidR="00B857AC" w:rsidRPr="008A1BF9" w:rsidRDefault="00E15053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Confirmation from the utility that the applicant has made contact regarding the proposed charging station location can take the form of a .pdf email from the utility or via</w:t>
      </w:r>
      <w:r w:rsidR="00132A3D" w:rsidRPr="008A1BF9">
        <w:rPr>
          <w:rFonts w:ascii="Palatino Linotype" w:hAnsi="Palatino Linotype"/>
        </w:rPr>
        <w:t xml:space="preserve"> this</w:t>
      </w:r>
      <w:r w:rsidRPr="008A1BF9">
        <w:rPr>
          <w:rFonts w:ascii="Palatino Linotype" w:hAnsi="Palatino Linotype"/>
        </w:rPr>
        <w:t xml:space="preserve"> Attachment 8</w:t>
      </w:r>
      <w:r w:rsidR="00132A3D" w:rsidRPr="008A1BF9">
        <w:rPr>
          <w:rFonts w:ascii="Palatino Linotype" w:hAnsi="Palatino Linotype"/>
        </w:rPr>
        <w:t>,</w:t>
      </w:r>
      <w:r w:rsidRPr="008A1BF9">
        <w:rPr>
          <w:rFonts w:ascii="Palatino Linotype" w:hAnsi="Palatino Linotype"/>
        </w:rPr>
        <w:t xml:space="preserve"> Sample Utility Letter.</w:t>
      </w:r>
    </w:p>
    <w:p w14:paraId="184560EB" w14:textId="3C886DD4" w:rsidR="00761DD5" w:rsidRPr="008A1BF9" w:rsidRDefault="006C662E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ODOT</w:t>
      </w:r>
      <w:r w:rsidR="00210C1E" w:rsidRPr="008A1BF9">
        <w:rPr>
          <w:rFonts w:ascii="Palatino Linotype" w:hAnsi="Palatino Linotype"/>
        </w:rPr>
        <w:t xml:space="preserve"> acknowledges that </w:t>
      </w:r>
      <w:r w:rsidR="00332F26" w:rsidRPr="008A1BF9">
        <w:rPr>
          <w:rFonts w:ascii="Palatino Linotype" w:hAnsi="Palatino Linotype"/>
        </w:rPr>
        <w:t>th</w:t>
      </w:r>
      <w:r w:rsidR="0088466E" w:rsidRPr="008A1BF9">
        <w:rPr>
          <w:rFonts w:ascii="Palatino Linotype" w:hAnsi="Palatino Linotype"/>
        </w:rPr>
        <w:t>e Utility Letter</w:t>
      </w:r>
      <w:r w:rsidR="00332F26" w:rsidRPr="008A1BF9">
        <w:rPr>
          <w:rFonts w:ascii="Palatino Linotype" w:hAnsi="Palatino Linotype"/>
        </w:rPr>
        <w:t xml:space="preserve"> and the </w:t>
      </w:r>
      <w:r w:rsidR="0052108A" w:rsidRPr="008A1BF9">
        <w:rPr>
          <w:rFonts w:ascii="Palatino Linotype" w:hAnsi="Palatino Linotype"/>
        </w:rPr>
        <w:t xml:space="preserve">data in the </w:t>
      </w:r>
      <w:r w:rsidR="00761DD5" w:rsidRPr="008A1BF9">
        <w:rPr>
          <w:rFonts w:ascii="Palatino Linotype" w:hAnsi="Palatino Linotype"/>
        </w:rPr>
        <w:t>coinciding</w:t>
      </w:r>
      <w:r w:rsidR="00332F26" w:rsidRPr="008A1BF9">
        <w:rPr>
          <w:rFonts w:ascii="Palatino Linotype" w:hAnsi="Palatino Linotype"/>
        </w:rPr>
        <w:t xml:space="preserve"> </w:t>
      </w:r>
      <w:r w:rsidR="00132A3D" w:rsidRPr="008A1BF9">
        <w:rPr>
          <w:rFonts w:ascii="Palatino Linotype" w:hAnsi="Palatino Linotype"/>
        </w:rPr>
        <w:t>Attachment 9, Utility Information</w:t>
      </w:r>
      <w:r w:rsidR="00332F26" w:rsidRPr="008A1BF9">
        <w:rPr>
          <w:rFonts w:ascii="Palatino Linotype" w:hAnsi="Palatino Linotype"/>
        </w:rPr>
        <w:t>:</w:t>
      </w:r>
      <w:r w:rsidR="00210C1E" w:rsidRPr="008A1BF9">
        <w:rPr>
          <w:rFonts w:ascii="Palatino Linotype" w:hAnsi="Palatino Linotype"/>
        </w:rPr>
        <w:t xml:space="preserve"> </w:t>
      </w:r>
    </w:p>
    <w:p w14:paraId="59AD1718" w14:textId="44AEC323" w:rsidR="00D542CC" w:rsidRPr="008A1BF9" w:rsidRDefault="00D542CC" w:rsidP="00D811C3">
      <w:pPr>
        <w:pStyle w:val="BodyText"/>
        <w:numPr>
          <w:ilvl w:val="0"/>
          <w:numId w:val="2"/>
        </w:numPr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  <w:b/>
          <w:bCs/>
        </w:rPr>
        <w:t>Does not</w:t>
      </w:r>
      <w:r w:rsidRPr="008A1BF9">
        <w:rPr>
          <w:rFonts w:ascii="Palatino Linotype" w:hAnsi="Palatino Linotype"/>
        </w:rPr>
        <w:t xml:space="preserve"> </w:t>
      </w:r>
      <w:r w:rsidR="00210C1E" w:rsidRPr="008A1BF9">
        <w:rPr>
          <w:rFonts w:ascii="Palatino Linotype" w:hAnsi="Palatino Linotype"/>
        </w:rPr>
        <w:t>secure</w:t>
      </w:r>
      <w:r w:rsidR="00210C1E" w:rsidRPr="008A1BF9">
        <w:rPr>
          <w:rFonts w:ascii="Palatino Linotype" w:hAnsi="Palatino Linotype"/>
          <w:spacing w:val="-1"/>
        </w:rPr>
        <w:t xml:space="preserve"> </w:t>
      </w:r>
      <w:r w:rsidR="00210C1E" w:rsidRPr="008A1BF9">
        <w:rPr>
          <w:rFonts w:ascii="Palatino Linotype" w:hAnsi="Palatino Linotype"/>
        </w:rPr>
        <w:t>a capacity reservation</w:t>
      </w:r>
      <w:r w:rsidR="0088466E" w:rsidRPr="008A1BF9">
        <w:rPr>
          <w:rFonts w:ascii="Palatino Linotype" w:hAnsi="Palatino Linotype"/>
        </w:rPr>
        <w:t xml:space="preserve"> from the utility</w:t>
      </w:r>
      <w:r w:rsidR="00210C1E" w:rsidRPr="008A1BF9">
        <w:rPr>
          <w:rFonts w:ascii="Palatino Linotype" w:hAnsi="Palatino Linotype"/>
        </w:rPr>
        <w:t>, and the information provided may change between the time of submission and the start of construction for the proposed project.</w:t>
      </w:r>
      <w:r w:rsidR="00875ECD" w:rsidRPr="008A1BF9">
        <w:rPr>
          <w:rFonts w:ascii="Palatino Linotype" w:hAnsi="Palatino Linotype"/>
        </w:rPr>
        <w:t xml:space="preserve"> </w:t>
      </w:r>
    </w:p>
    <w:p w14:paraId="243BBF16" w14:textId="4E81B024" w:rsidR="00B17351" w:rsidRPr="008A1BF9" w:rsidRDefault="0034533C" w:rsidP="00D811C3">
      <w:pPr>
        <w:pStyle w:val="BodyText"/>
        <w:numPr>
          <w:ilvl w:val="0"/>
          <w:numId w:val="2"/>
        </w:numPr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 xml:space="preserve">Solely reflects </w:t>
      </w:r>
      <w:r w:rsidR="00210C1E" w:rsidRPr="008A1BF9">
        <w:rPr>
          <w:rFonts w:ascii="Palatino Linotype" w:hAnsi="Palatino Linotype"/>
        </w:rPr>
        <w:t>the grid capacity information</w:t>
      </w:r>
      <w:r w:rsidRPr="008A1BF9">
        <w:rPr>
          <w:rFonts w:ascii="Palatino Linotype" w:hAnsi="Palatino Linotype"/>
        </w:rPr>
        <w:t xml:space="preserve"> </w:t>
      </w:r>
      <w:r w:rsidR="00210C1E" w:rsidRPr="008A1BF9">
        <w:rPr>
          <w:rFonts w:ascii="Palatino Linotype" w:hAnsi="Palatino Linotype"/>
        </w:rPr>
        <w:t>for th</w:t>
      </w:r>
      <w:r w:rsidR="00B857AC" w:rsidRPr="008A1BF9">
        <w:rPr>
          <w:rFonts w:ascii="Palatino Linotype" w:hAnsi="Palatino Linotype"/>
        </w:rPr>
        <w:t>e</w:t>
      </w:r>
      <w:r w:rsidR="00210C1E" w:rsidRPr="008A1BF9">
        <w:rPr>
          <w:rFonts w:ascii="Palatino Linotype" w:hAnsi="Palatino Linotype"/>
        </w:rPr>
        <w:t xml:space="preserve"> applicant’s proposed project</w:t>
      </w:r>
      <w:r w:rsidR="0052108A" w:rsidRPr="008A1BF9">
        <w:rPr>
          <w:rFonts w:ascii="Palatino Linotype" w:hAnsi="Palatino Linotype"/>
        </w:rPr>
        <w:t xml:space="preserve"> at a single point in time</w:t>
      </w:r>
      <w:r w:rsidR="00210C1E" w:rsidRPr="008A1BF9">
        <w:rPr>
          <w:rFonts w:ascii="Palatino Linotype" w:hAnsi="Palatino Linotype"/>
        </w:rPr>
        <w:t xml:space="preserve"> and </w:t>
      </w:r>
      <w:r w:rsidR="00210C1E" w:rsidRPr="008A1BF9">
        <w:rPr>
          <w:rFonts w:ascii="Palatino Linotype" w:hAnsi="Palatino Linotype"/>
          <w:b/>
          <w:bCs/>
        </w:rPr>
        <w:t>does not</w:t>
      </w:r>
      <w:r w:rsidR="00210C1E" w:rsidRPr="008A1BF9">
        <w:rPr>
          <w:rFonts w:ascii="Palatino Linotype" w:hAnsi="Palatino Linotype"/>
        </w:rPr>
        <w:t xml:space="preserve"> account for other projects that may impact the capacity reflected </w:t>
      </w:r>
      <w:r w:rsidR="00DB3449" w:rsidRPr="008A1BF9">
        <w:rPr>
          <w:rFonts w:ascii="Palatino Linotype" w:hAnsi="Palatino Linotype"/>
        </w:rPr>
        <w:t xml:space="preserve">in </w:t>
      </w:r>
      <w:r w:rsidR="008A1BF9" w:rsidRPr="008A1BF9">
        <w:rPr>
          <w:rFonts w:ascii="Palatino Linotype" w:hAnsi="Palatino Linotype"/>
        </w:rPr>
        <w:t>Attachment 9, Utility Information.</w:t>
      </w:r>
    </w:p>
    <w:p w14:paraId="0F0CCD02" w14:textId="37943EBD" w:rsidR="00210C1E" w:rsidRPr="008A1BF9" w:rsidRDefault="00210C1E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 xml:space="preserve">The information provided by the utility </w:t>
      </w:r>
      <w:r w:rsidR="00D542CC" w:rsidRPr="008A1BF9">
        <w:rPr>
          <w:rFonts w:ascii="Palatino Linotype" w:hAnsi="Palatino Linotype"/>
        </w:rPr>
        <w:t xml:space="preserve">may </w:t>
      </w:r>
      <w:r w:rsidRPr="008A1BF9">
        <w:rPr>
          <w:rFonts w:ascii="Palatino Linotype" w:hAnsi="Palatino Linotype"/>
        </w:rPr>
        <w:t>not reflect a full assessment of the site</w:t>
      </w:r>
      <w:r w:rsidR="00E83016" w:rsidRPr="008A1BF9">
        <w:rPr>
          <w:rFonts w:ascii="Palatino Linotype" w:hAnsi="Palatino Linotype"/>
        </w:rPr>
        <w:t xml:space="preserve">, </w:t>
      </w:r>
      <w:r w:rsidR="00B857AC" w:rsidRPr="008A1BF9">
        <w:rPr>
          <w:rFonts w:ascii="Palatino Linotype" w:hAnsi="Palatino Linotype"/>
        </w:rPr>
        <w:t>and new limitations may be identified during design or construction of the project.</w:t>
      </w:r>
      <w:r w:rsidRPr="008A1BF9">
        <w:rPr>
          <w:rFonts w:ascii="Palatino Linotype" w:hAnsi="Palatino Linotype"/>
        </w:rPr>
        <w:t xml:space="preserve"> The utility is not responsible for the grid information provided in this form.</w:t>
      </w:r>
    </w:p>
    <w:p w14:paraId="66203FE9" w14:textId="77777777" w:rsidR="00C723FE" w:rsidRPr="008A1BF9" w:rsidRDefault="00C723FE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</w:p>
    <w:p w14:paraId="4F8CBABA" w14:textId="77777777" w:rsidR="00D774F5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</w:p>
    <w:p w14:paraId="0D5D75ED" w14:textId="77777777" w:rsidR="008A1BF9" w:rsidRPr="008A1BF9" w:rsidRDefault="008A1BF9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</w:p>
    <w:p w14:paraId="27D14E6D" w14:textId="77777777" w:rsidR="00D774F5" w:rsidRPr="008A1BF9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</w:p>
    <w:p w14:paraId="44255C4D" w14:textId="77777777" w:rsidR="00D774F5" w:rsidRPr="008A1BF9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</w:p>
    <w:p w14:paraId="4C544C3A" w14:textId="77777777" w:rsidR="00D774F5" w:rsidRPr="008A1BF9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</w:p>
    <w:p w14:paraId="1CF91FE4" w14:textId="77777777" w:rsidR="00D774F5" w:rsidRPr="008A1BF9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</w:p>
    <w:p w14:paraId="3CE2DB42" w14:textId="56BCF237" w:rsidR="00D774F5" w:rsidRPr="008A1BF9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lastRenderedPageBreak/>
        <w:t>Utility Letterhead</w:t>
      </w:r>
    </w:p>
    <w:p w14:paraId="3E377970" w14:textId="6BEF98DE" w:rsidR="00D774F5" w:rsidRPr="008A1BF9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Utility Name</w:t>
      </w:r>
    </w:p>
    <w:p w14:paraId="39055C79" w14:textId="2383D44A" w:rsidR="00D774F5" w:rsidRPr="008A1BF9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Address</w:t>
      </w:r>
    </w:p>
    <w:p w14:paraId="6060E752" w14:textId="77777777" w:rsidR="00D774F5" w:rsidRPr="008A1BF9" w:rsidRDefault="00D774F5" w:rsidP="00D811C3">
      <w:pPr>
        <w:pStyle w:val="BodyText"/>
        <w:spacing w:line="360" w:lineRule="auto"/>
        <w:ind w:right="50"/>
        <w:rPr>
          <w:rFonts w:ascii="Palatino Linotype" w:hAnsi="Palatino Linotype"/>
        </w:rPr>
      </w:pPr>
    </w:p>
    <w:p w14:paraId="6B99A813" w14:textId="48A1168B" w:rsidR="00D774F5" w:rsidRPr="008A1BF9" w:rsidRDefault="00D774F5" w:rsidP="008A1BF9">
      <w:pPr>
        <w:pStyle w:val="BodyText"/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Dear ODOT Evaluation Committee,</w:t>
      </w:r>
    </w:p>
    <w:p w14:paraId="0B2663A1" w14:textId="61E16F07" w:rsidR="00D774F5" w:rsidRPr="008A1BF9" w:rsidRDefault="001F559D" w:rsidP="008A1BF9">
      <w:pPr>
        <w:pStyle w:val="BodyText"/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 xml:space="preserve">[Utility] </w:t>
      </w:r>
      <w:proofErr w:type="gramStart"/>
      <w:r w:rsidR="0019395E" w:rsidRPr="008A1BF9">
        <w:rPr>
          <w:rFonts w:ascii="Palatino Linotype" w:hAnsi="Palatino Linotype"/>
        </w:rPr>
        <w:t>confirms</w:t>
      </w:r>
      <w:proofErr w:type="gramEnd"/>
      <w:r w:rsidR="0019395E" w:rsidRPr="008A1BF9">
        <w:rPr>
          <w:rFonts w:ascii="Palatino Linotype" w:hAnsi="Palatino Linotype"/>
        </w:rPr>
        <w:t xml:space="preserve"> </w:t>
      </w:r>
      <w:r w:rsidR="007E4452" w:rsidRPr="008A1BF9">
        <w:rPr>
          <w:rFonts w:ascii="Palatino Linotype" w:hAnsi="Palatino Linotype"/>
        </w:rPr>
        <w:t xml:space="preserve">that [applicant name] has contacted </w:t>
      </w:r>
      <w:r w:rsidRPr="008A1BF9">
        <w:rPr>
          <w:rFonts w:ascii="Palatino Linotype" w:hAnsi="Palatino Linotype"/>
        </w:rPr>
        <w:t xml:space="preserve">us </w:t>
      </w:r>
      <w:r w:rsidR="007E4452" w:rsidRPr="008A1BF9">
        <w:rPr>
          <w:rFonts w:ascii="Palatino Linotype" w:hAnsi="Palatino Linotype"/>
        </w:rPr>
        <w:t xml:space="preserve">regarding proposed </w:t>
      </w:r>
      <w:r w:rsidR="00654CC5" w:rsidRPr="008A1BF9">
        <w:rPr>
          <w:rFonts w:ascii="Palatino Linotype" w:hAnsi="Palatino Linotype"/>
        </w:rPr>
        <w:t>repairs</w:t>
      </w:r>
      <w:r w:rsidR="008A1BF9" w:rsidRPr="008A1BF9">
        <w:rPr>
          <w:rFonts w:ascii="Palatino Linotype" w:hAnsi="Palatino Linotype"/>
        </w:rPr>
        <w:t>,</w:t>
      </w:r>
      <w:r w:rsidR="00654CC5" w:rsidRPr="008A1BF9">
        <w:rPr>
          <w:rFonts w:ascii="Palatino Linotype" w:hAnsi="Palatino Linotype"/>
        </w:rPr>
        <w:t xml:space="preserve"> and </w:t>
      </w:r>
      <w:r w:rsidR="008A1BF9" w:rsidRPr="008A1BF9">
        <w:rPr>
          <w:rFonts w:ascii="Palatino Linotype" w:hAnsi="Palatino Linotype"/>
        </w:rPr>
        <w:t>upgrades</w:t>
      </w:r>
      <w:r w:rsidR="00654CC5" w:rsidRPr="008A1BF9">
        <w:rPr>
          <w:rFonts w:ascii="Palatino Linotype" w:hAnsi="Palatino Linotype"/>
        </w:rPr>
        <w:t xml:space="preserve"> of EV chargers</w:t>
      </w:r>
      <w:r w:rsidR="007E4452" w:rsidRPr="008A1BF9">
        <w:rPr>
          <w:rFonts w:ascii="Palatino Linotype" w:hAnsi="Palatino Linotype"/>
        </w:rPr>
        <w:t xml:space="preserve"> at the following locations:</w:t>
      </w:r>
    </w:p>
    <w:p w14:paraId="12B3552B" w14:textId="515D788F" w:rsidR="007E4452" w:rsidRPr="008A1BF9" w:rsidRDefault="007E4452" w:rsidP="008A1BF9">
      <w:pPr>
        <w:pStyle w:val="BodyText"/>
        <w:numPr>
          <w:ilvl w:val="0"/>
          <w:numId w:val="4"/>
        </w:numPr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[address 1]</w:t>
      </w:r>
    </w:p>
    <w:p w14:paraId="132E3E08" w14:textId="4E1452D8" w:rsidR="007E4452" w:rsidRPr="008A1BF9" w:rsidRDefault="007E4452" w:rsidP="008A1BF9">
      <w:pPr>
        <w:pStyle w:val="BodyText"/>
        <w:numPr>
          <w:ilvl w:val="0"/>
          <w:numId w:val="4"/>
        </w:numPr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[address 2]</w:t>
      </w:r>
    </w:p>
    <w:p w14:paraId="77A537A3" w14:textId="2EB8D256" w:rsidR="007E4452" w:rsidRPr="008A1BF9" w:rsidRDefault="007E4452" w:rsidP="008A1BF9">
      <w:pPr>
        <w:pStyle w:val="BodyText"/>
        <w:numPr>
          <w:ilvl w:val="0"/>
          <w:numId w:val="4"/>
        </w:numPr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[address 3]</w:t>
      </w:r>
    </w:p>
    <w:p w14:paraId="5CED0709" w14:textId="79AD7D8F" w:rsidR="008A1BF9" w:rsidRPr="008A1BF9" w:rsidRDefault="00867E5C" w:rsidP="008A1BF9">
      <w:pPr>
        <w:pStyle w:val="BodyText"/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We have provided the</w:t>
      </w:r>
      <w:r w:rsidR="008A1BF9" w:rsidRPr="008A1BF9">
        <w:rPr>
          <w:rFonts w:ascii="Palatino Linotype" w:hAnsi="Palatino Linotype"/>
        </w:rPr>
        <w:t xml:space="preserve"> </w:t>
      </w:r>
      <w:r w:rsidRPr="008A1BF9">
        <w:rPr>
          <w:rFonts w:ascii="Palatino Linotype" w:hAnsi="Palatino Linotype"/>
        </w:rPr>
        <w:t>requested information to [applicant name] to help inform the ODOT Evaluation Committee</w:t>
      </w:r>
      <w:r w:rsidR="00671AB1" w:rsidRPr="008A1BF9">
        <w:rPr>
          <w:rFonts w:ascii="Palatino Linotype" w:hAnsi="Palatino Linotype"/>
        </w:rPr>
        <w:t xml:space="preserve"> on the project readiness </w:t>
      </w:r>
      <w:r w:rsidR="00BC794D" w:rsidRPr="008A1BF9">
        <w:rPr>
          <w:rFonts w:ascii="Palatino Linotype" w:hAnsi="Palatino Linotype"/>
        </w:rPr>
        <w:t xml:space="preserve">at </w:t>
      </w:r>
      <w:r w:rsidR="00671AB1" w:rsidRPr="008A1BF9">
        <w:rPr>
          <w:rFonts w:ascii="Palatino Linotype" w:hAnsi="Palatino Linotype"/>
        </w:rPr>
        <w:t>the sites above</w:t>
      </w:r>
      <w:r w:rsidR="007405E0" w:rsidRPr="008A1BF9">
        <w:rPr>
          <w:rFonts w:ascii="Palatino Linotype" w:hAnsi="Palatino Linotype"/>
        </w:rPr>
        <w:t xml:space="preserve">, including </w:t>
      </w:r>
      <w:r w:rsidR="00DA4090" w:rsidRPr="008A1BF9">
        <w:rPr>
          <w:rFonts w:ascii="Palatino Linotype" w:hAnsi="Palatino Linotype"/>
        </w:rPr>
        <w:t>an</w:t>
      </w:r>
      <w:r w:rsidR="00C12182" w:rsidRPr="008A1BF9">
        <w:rPr>
          <w:rFonts w:ascii="Palatino Linotype" w:hAnsi="Palatino Linotype"/>
        </w:rPr>
        <w:t xml:space="preserve"> initial </w:t>
      </w:r>
      <w:r w:rsidR="00996D2F" w:rsidRPr="008A1BF9">
        <w:rPr>
          <w:rFonts w:ascii="Palatino Linotype" w:hAnsi="Palatino Linotype"/>
        </w:rPr>
        <w:t>site evaluation</w:t>
      </w:r>
      <w:r w:rsidR="0033426C" w:rsidRPr="008A1BF9">
        <w:rPr>
          <w:rFonts w:ascii="Palatino Linotype" w:hAnsi="Palatino Linotype"/>
        </w:rPr>
        <w:t>.</w:t>
      </w:r>
      <w:r w:rsidR="00DA4090" w:rsidRPr="008A1BF9">
        <w:rPr>
          <w:rFonts w:ascii="Palatino Linotype" w:hAnsi="Palatino Linotype"/>
        </w:rPr>
        <w:t xml:space="preserve"> </w:t>
      </w:r>
    </w:p>
    <w:p w14:paraId="17F2E38E" w14:textId="7E584ADD" w:rsidR="008A1BF9" w:rsidRPr="008A1BF9" w:rsidRDefault="0033426C" w:rsidP="008A1BF9">
      <w:pPr>
        <w:pStyle w:val="BodyText"/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 xml:space="preserve">Additionally, </w:t>
      </w:r>
      <w:r w:rsidR="00DA4090" w:rsidRPr="008A1BF9">
        <w:rPr>
          <w:rFonts w:ascii="Palatino Linotype" w:hAnsi="Palatino Linotype"/>
        </w:rPr>
        <w:t xml:space="preserve">where </w:t>
      </w:r>
      <w:r w:rsidR="00A62DE4" w:rsidRPr="008A1BF9">
        <w:rPr>
          <w:rFonts w:ascii="Palatino Linotype" w:hAnsi="Palatino Linotype"/>
        </w:rPr>
        <w:t>possible</w:t>
      </w:r>
      <w:r w:rsidRPr="008A1BF9">
        <w:rPr>
          <w:rFonts w:ascii="Palatino Linotype" w:hAnsi="Palatino Linotype"/>
        </w:rPr>
        <w:t>,</w:t>
      </w:r>
      <w:r w:rsidR="00DA4090" w:rsidRPr="008A1BF9">
        <w:rPr>
          <w:rFonts w:ascii="Palatino Linotype" w:hAnsi="Palatino Linotype"/>
        </w:rPr>
        <w:t xml:space="preserve"> </w:t>
      </w:r>
      <w:r w:rsidRPr="008A1BF9">
        <w:rPr>
          <w:rFonts w:ascii="Palatino Linotype" w:hAnsi="Palatino Linotype"/>
        </w:rPr>
        <w:t>we have provided</w:t>
      </w:r>
      <w:r w:rsidR="008A1BF9" w:rsidRPr="008A1BF9">
        <w:rPr>
          <w:rFonts w:ascii="Palatino Linotype" w:hAnsi="Palatino Linotype"/>
        </w:rPr>
        <w:t xml:space="preserve"> the following [select all that apply]</w:t>
      </w:r>
      <w:r w:rsidR="00C131C1" w:rsidRPr="008A1BF9">
        <w:rPr>
          <w:rFonts w:ascii="Palatino Linotype" w:hAnsi="Palatino Linotype"/>
        </w:rPr>
        <w:t>:</w:t>
      </w:r>
      <w:r w:rsidRPr="008A1BF9">
        <w:rPr>
          <w:rFonts w:ascii="Palatino Linotype" w:hAnsi="Palatino Linotype"/>
        </w:rPr>
        <w:t xml:space="preserve"> </w:t>
      </w:r>
    </w:p>
    <w:p w14:paraId="26DBA5A6" w14:textId="47D8327A" w:rsidR="008A1BF9" w:rsidRPr="008A1BF9" w:rsidRDefault="00554335" w:rsidP="008A1BF9">
      <w:pPr>
        <w:pStyle w:val="BodyText"/>
        <w:numPr>
          <w:ilvl w:val="0"/>
          <w:numId w:val="11"/>
        </w:numPr>
        <w:spacing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further site evaluation</w:t>
      </w:r>
    </w:p>
    <w:p w14:paraId="55E81049" w14:textId="69EC1D7C" w:rsidR="008A1BF9" w:rsidRPr="008A1BF9" w:rsidRDefault="00B724B5" w:rsidP="008A1BF9">
      <w:pPr>
        <w:pStyle w:val="BodyText"/>
        <w:numPr>
          <w:ilvl w:val="0"/>
          <w:numId w:val="11"/>
        </w:numPr>
        <w:spacing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3-phase power status</w:t>
      </w:r>
    </w:p>
    <w:p w14:paraId="36099BB1" w14:textId="4179D174" w:rsidR="008A1BF9" w:rsidRPr="008A1BF9" w:rsidRDefault="00DA4090" w:rsidP="008A1BF9">
      <w:pPr>
        <w:pStyle w:val="BodyText"/>
        <w:numPr>
          <w:ilvl w:val="0"/>
          <w:numId w:val="11"/>
        </w:numPr>
        <w:spacing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need</w:t>
      </w:r>
      <w:r w:rsidR="0033426C" w:rsidRPr="008A1BF9">
        <w:rPr>
          <w:rFonts w:ascii="Palatino Linotype" w:hAnsi="Palatino Linotype"/>
        </w:rPr>
        <w:t xml:space="preserve"> for</w:t>
      </w:r>
      <w:r w:rsidRPr="008A1BF9">
        <w:rPr>
          <w:rFonts w:ascii="Palatino Linotype" w:hAnsi="Palatino Linotype"/>
        </w:rPr>
        <w:t xml:space="preserve"> minor or major</w:t>
      </w:r>
      <w:r w:rsidR="0033426C" w:rsidRPr="008A1BF9">
        <w:rPr>
          <w:rFonts w:ascii="Palatino Linotype" w:hAnsi="Palatino Linotype"/>
        </w:rPr>
        <w:t xml:space="preserve"> upgrades</w:t>
      </w:r>
    </w:p>
    <w:p w14:paraId="7A54CCDA" w14:textId="36FC2CB6" w:rsidR="008A1BF9" w:rsidRPr="008A1BF9" w:rsidRDefault="005619CE" w:rsidP="008A1BF9">
      <w:pPr>
        <w:pStyle w:val="BodyText"/>
        <w:numPr>
          <w:ilvl w:val="0"/>
          <w:numId w:val="11"/>
        </w:numPr>
        <w:spacing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approximate timeline</w:t>
      </w:r>
      <w:r w:rsidR="00DA4090" w:rsidRPr="008A1BF9">
        <w:rPr>
          <w:rFonts w:ascii="Palatino Linotype" w:hAnsi="Palatino Linotype"/>
        </w:rPr>
        <w:t xml:space="preserve"> for utility upgrades</w:t>
      </w:r>
    </w:p>
    <w:p w14:paraId="18A3FF0E" w14:textId="1EE44587" w:rsidR="00867E5C" w:rsidRPr="008A1BF9" w:rsidRDefault="00DA4090" w:rsidP="008A1BF9">
      <w:pPr>
        <w:pStyle w:val="BodyText"/>
        <w:numPr>
          <w:ilvl w:val="0"/>
          <w:numId w:val="11"/>
        </w:numPr>
        <w:spacing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approximate timeline for energization</w:t>
      </w:r>
    </w:p>
    <w:p w14:paraId="03B5CBC6" w14:textId="40F5133F" w:rsidR="008A1BF9" w:rsidRPr="008A1BF9" w:rsidRDefault="008A1BF9" w:rsidP="008A1BF9">
      <w:pPr>
        <w:pStyle w:val="BodyText"/>
        <w:numPr>
          <w:ilvl w:val="0"/>
          <w:numId w:val="11"/>
        </w:numPr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other</w:t>
      </w:r>
    </w:p>
    <w:p w14:paraId="7C9B2DE7" w14:textId="65962DE3" w:rsidR="00867E5C" w:rsidRPr="008A1BF9" w:rsidRDefault="00867E5C" w:rsidP="008A1BF9">
      <w:pPr>
        <w:pStyle w:val="BodyText"/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Sincerely,</w:t>
      </w:r>
    </w:p>
    <w:p w14:paraId="5B79AF2F" w14:textId="0547CF69" w:rsidR="00867E5C" w:rsidRPr="008A1BF9" w:rsidRDefault="00867E5C" w:rsidP="008A1BF9">
      <w:pPr>
        <w:pStyle w:val="BodyText"/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[signature]</w:t>
      </w:r>
    </w:p>
    <w:p w14:paraId="48FC0A5A" w14:textId="4347EDB0" w:rsidR="00867E5C" w:rsidRPr="008A1BF9" w:rsidRDefault="00671AB1" w:rsidP="008A1BF9">
      <w:pPr>
        <w:pStyle w:val="BodyText"/>
        <w:spacing w:after="160" w:line="360" w:lineRule="auto"/>
        <w:ind w:right="43"/>
        <w:rPr>
          <w:rFonts w:ascii="Palatino Linotype" w:hAnsi="Palatino Linotype"/>
        </w:rPr>
      </w:pPr>
      <w:r w:rsidRPr="008A1BF9">
        <w:rPr>
          <w:rFonts w:ascii="Palatino Linotype" w:hAnsi="Palatino Linotype"/>
        </w:rPr>
        <w:t>[name, position]</w:t>
      </w:r>
    </w:p>
    <w:sectPr w:rsidR="00867E5C" w:rsidRPr="008A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7F9"/>
    <w:multiLevelType w:val="hybridMultilevel"/>
    <w:tmpl w:val="BE6A8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7799"/>
    <w:multiLevelType w:val="hybridMultilevel"/>
    <w:tmpl w:val="02D60472"/>
    <w:lvl w:ilvl="0" w:tplc="DB3C217A">
      <w:start w:val="1"/>
      <w:numFmt w:val="decimal"/>
      <w:lvlText w:val="%1."/>
      <w:lvlJc w:val="left"/>
      <w:pPr>
        <w:ind w:left="720" w:hanging="360"/>
      </w:pPr>
    </w:lvl>
    <w:lvl w:ilvl="1" w:tplc="94423494">
      <w:start w:val="1"/>
      <w:numFmt w:val="decimal"/>
      <w:lvlText w:val="%2."/>
      <w:lvlJc w:val="left"/>
      <w:pPr>
        <w:ind w:left="720" w:hanging="360"/>
      </w:pPr>
    </w:lvl>
    <w:lvl w:ilvl="2" w:tplc="92E24AB6">
      <w:start w:val="1"/>
      <w:numFmt w:val="decimal"/>
      <w:lvlText w:val="%3."/>
      <w:lvlJc w:val="left"/>
      <w:pPr>
        <w:ind w:left="720" w:hanging="360"/>
      </w:pPr>
    </w:lvl>
    <w:lvl w:ilvl="3" w:tplc="8C983552">
      <w:start w:val="1"/>
      <w:numFmt w:val="decimal"/>
      <w:lvlText w:val="%4."/>
      <w:lvlJc w:val="left"/>
      <w:pPr>
        <w:ind w:left="720" w:hanging="360"/>
      </w:pPr>
    </w:lvl>
    <w:lvl w:ilvl="4" w:tplc="FD1CB5F2">
      <w:start w:val="1"/>
      <w:numFmt w:val="decimal"/>
      <w:lvlText w:val="%5."/>
      <w:lvlJc w:val="left"/>
      <w:pPr>
        <w:ind w:left="720" w:hanging="360"/>
      </w:pPr>
    </w:lvl>
    <w:lvl w:ilvl="5" w:tplc="7E3C4A80">
      <w:start w:val="1"/>
      <w:numFmt w:val="decimal"/>
      <w:lvlText w:val="%6."/>
      <w:lvlJc w:val="left"/>
      <w:pPr>
        <w:ind w:left="720" w:hanging="360"/>
      </w:pPr>
    </w:lvl>
    <w:lvl w:ilvl="6" w:tplc="6060A444">
      <w:start w:val="1"/>
      <w:numFmt w:val="decimal"/>
      <w:lvlText w:val="%7."/>
      <w:lvlJc w:val="left"/>
      <w:pPr>
        <w:ind w:left="720" w:hanging="360"/>
      </w:pPr>
    </w:lvl>
    <w:lvl w:ilvl="7" w:tplc="60DEA3C4">
      <w:start w:val="1"/>
      <w:numFmt w:val="decimal"/>
      <w:lvlText w:val="%8."/>
      <w:lvlJc w:val="left"/>
      <w:pPr>
        <w:ind w:left="720" w:hanging="360"/>
      </w:pPr>
    </w:lvl>
    <w:lvl w:ilvl="8" w:tplc="1E32D34A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DAB192B"/>
    <w:multiLevelType w:val="hybridMultilevel"/>
    <w:tmpl w:val="75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1F4"/>
    <w:multiLevelType w:val="hybridMultilevel"/>
    <w:tmpl w:val="D8861F62"/>
    <w:lvl w:ilvl="0" w:tplc="7A6A94FE">
      <w:start w:val="1"/>
      <w:numFmt w:val="decimal"/>
      <w:lvlText w:val="%1."/>
      <w:lvlJc w:val="left"/>
      <w:pPr>
        <w:ind w:left="720" w:hanging="360"/>
      </w:pPr>
    </w:lvl>
    <w:lvl w:ilvl="1" w:tplc="55200B84">
      <w:start w:val="1"/>
      <w:numFmt w:val="decimal"/>
      <w:lvlText w:val="%2."/>
      <w:lvlJc w:val="left"/>
      <w:pPr>
        <w:ind w:left="720" w:hanging="360"/>
      </w:pPr>
    </w:lvl>
    <w:lvl w:ilvl="2" w:tplc="2CC62A32">
      <w:start w:val="1"/>
      <w:numFmt w:val="decimal"/>
      <w:lvlText w:val="%3."/>
      <w:lvlJc w:val="left"/>
      <w:pPr>
        <w:ind w:left="720" w:hanging="360"/>
      </w:pPr>
    </w:lvl>
    <w:lvl w:ilvl="3" w:tplc="1E2A964E">
      <w:start w:val="1"/>
      <w:numFmt w:val="decimal"/>
      <w:lvlText w:val="%4."/>
      <w:lvlJc w:val="left"/>
      <w:pPr>
        <w:ind w:left="720" w:hanging="360"/>
      </w:pPr>
    </w:lvl>
    <w:lvl w:ilvl="4" w:tplc="96329ACC">
      <w:start w:val="1"/>
      <w:numFmt w:val="decimal"/>
      <w:lvlText w:val="%5."/>
      <w:lvlJc w:val="left"/>
      <w:pPr>
        <w:ind w:left="720" w:hanging="360"/>
      </w:pPr>
    </w:lvl>
    <w:lvl w:ilvl="5" w:tplc="FF087548">
      <w:start w:val="1"/>
      <w:numFmt w:val="decimal"/>
      <w:lvlText w:val="%6."/>
      <w:lvlJc w:val="left"/>
      <w:pPr>
        <w:ind w:left="720" w:hanging="360"/>
      </w:pPr>
    </w:lvl>
    <w:lvl w:ilvl="6" w:tplc="DD745E0C">
      <w:start w:val="1"/>
      <w:numFmt w:val="decimal"/>
      <w:lvlText w:val="%7."/>
      <w:lvlJc w:val="left"/>
      <w:pPr>
        <w:ind w:left="720" w:hanging="360"/>
      </w:pPr>
    </w:lvl>
    <w:lvl w:ilvl="7" w:tplc="8ED636DA">
      <w:start w:val="1"/>
      <w:numFmt w:val="decimal"/>
      <w:lvlText w:val="%8."/>
      <w:lvlJc w:val="left"/>
      <w:pPr>
        <w:ind w:left="720" w:hanging="360"/>
      </w:pPr>
    </w:lvl>
    <w:lvl w:ilvl="8" w:tplc="B288A6D0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1C6D3F44"/>
    <w:multiLevelType w:val="hybridMultilevel"/>
    <w:tmpl w:val="CC82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3CE9"/>
    <w:multiLevelType w:val="hybridMultilevel"/>
    <w:tmpl w:val="EC1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4FDC"/>
    <w:multiLevelType w:val="hybridMultilevel"/>
    <w:tmpl w:val="EC24C436"/>
    <w:lvl w:ilvl="0" w:tplc="E9A4F796">
      <w:start w:val="1"/>
      <w:numFmt w:val="decimal"/>
      <w:lvlText w:val="%1."/>
      <w:lvlJc w:val="left"/>
      <w:pPr>
        <w:ind w:left="720" w:hanging="360"/>
      </w:pPr>
    </w:lvl>
    <w:lvl w:ilvl="1" w:tplc="D2A48CC2">
      <w:start w:val="1"/>
      <w:numFmt w:val="decimal"/>
      <w:lvlText w:val="%2."/>
      <w:lvlJc w:val="left"/>
      <w:pPr>
        <w:ind w:left="720" w:hanging="360"/>
      </w:pPr>
    </w:lvl>
    <w:lvl w:ilvl="2" w:tplc="988011F4">
      <w:start w:val="1"/>
      <w:numFmt w:val="decimal"/>
      <w:lvlText w:val="%3."/>
      <w:lvlJc w:val="left"/>
      <w:pPr>
        <w:ind w:left="720" w:hanging="360"/>
      </w:pPr>
    </w:lvl>
    <w:lvl w:ilvl="3" w:tplc="092E95E4">
      <w:start w:val="1"/>
      <w:numFmt w:val="decimal"/>
      <w:lvlText w:val="%4."/>
      <w:lvlJc w:val="left"/>
      <w:pPr>
        <w:ind w:left="720" w:hanging="360"/>
      </w:pPr>
    </w:lvl>
    <w:lvl w:ilvl="4" w:tplc="B308F004">
      <w:start w:val="1"/>
      <w:numFmt w:val="decimal"/>
      <w:lvlText w:val="%5."/>
      <w:lvlJc w:val="left"/>
      <w:pPr>
        <w:ind w:left="720" w:hanging="360"/>
      </w:pPr>
    </w:lvl>
    <w:lvl w:ilvl="5" w:tplc="4A8E98A4">
      <w:start w:val="1"/>
      <w:numFmt w:val="decimal"/>
      <w:lvlText w:val="%6."/>
      <w:lvlJc w:val="left"/>
      <w:pPr>
        <w:ind w:left="720" w:hanging="360"/>
      </w:pPr>
    </w:lvl>
    <w:lvl w:ilvl="6" w:tplc="33AA823C">
      <w:start w:val="1"/>
      <w:numFmt w:val="decimal"/>
      <w:lvlText w:val="%7."/>
      <w:lvlJc w:val="left"/>
      <w:pPr>
        <w:ind w:left="720" w:hanging="360"/>
      </w:pPr>
    </w:lvl>
    <w:lvl w:ilvl="7" w:tplc="9DC87B7C">
      <w:start w:val="1"/>
      <w:numFmt w:val="decimal"/>
      <w:lvlText w:val="%8."/>
      <w:lvlJc w:val="left"/>
      <w:pPr>
        <w:ind w:left="720" w:hanging="360"/>
      </w:pPr>
    </w:lvl>
    <w:lvl w:ilvl="8" w:tplc="BA8290EE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36215176"/>
    <w:multiLevelType w:val="hybridMultilevel"/>
    <w:tmpl w:val="ACB8B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07103"/>
    <w:multiLevelType w:val="hybridMultilevel"/>
    <w:tmpl w:val="7EA87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1692"/>
    <w:multiLevelType w:val="hybridMultilevel"/>
    <w:tmpl w:val="02EA4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E6272"/>
    <w:multiLevelType w:val="hybridMultilevel"/>
    <w:tmpl w:val="020854BE"/>
    <w:lvl w:ilvl="0" w:tplc="572248B4">
      <w:start w:val="1"/>
      <w:numFmt w:val="decimal"/>
      <w:lvlText w:val="%1."/>
      <w:lvlJc w:val="left"/>
      <w:pPr>
        <w:ind w:left="720" w:hanging="360"/>
      </w:pPr>
    </w:lvl>
    <w:lvl w:ilvl="1" w:tplc="898EA96C">
      <w:start w:val="1"/>
      <w:numFmt w:val="decimal"/>
      <w:lvlText w:val="%2."/>
      <w:lvlJc w:val="left"/>
      <w:pPr>
        <w:ind w:left="720" w:hanging="360"/>
      </w:pPr>
    </w:lvl>
    <w:lvl w:ilvl="2" w:tplc="2558E3B0">
      <w:start w:val="1"/>
      <w:numFmt w:val="decimal"/>
      <w:lvlText w:val="%3."/>
      <w:lvlJc w:val="left"/>
      <w:pPr>
        <w:ind w:left="720" w:hanging="360"/>
      </w:pPr>
    </w:lvl>
    <w:lvl w:ilvl="3" w:tplc="603C7478">
      <w:start w:val="1"/>
      <w:numFmt w:val="decimal"/>
      <w:lvlText w:val="%4."/>
      <w:lvlJc w:val="left"/>
      <w:pPr>
        <w:ind w:left="720" w:hanging="360"/>
      </w:pPr>
    </w:lvl>
    <w:lvl w:ilvl="4" w:tplc="9DF2F2F8">
      <w:start w:val="1"/>
      <w:numFmt w:val="decimal"/>
      <w:lvlText w:val="%5."/>
      <w:lvlJc w:val="left"/>
      <w:pPr>
        <w:ind w:left="720" w:hanging="360"/>
      </w:pPr>
    </w:lvl>
    <w:lvl w:ilvl="5" w:tplc="A760A428">
      <w:start w:val="1"/>
      <w:numFmt w:val="decimal"/>
      <w:lvlText w:val="%6."/>
      <w:lvlJc w:val="left"/>
      <w:pPr>
        <w:ind w:left="720" w:hanging="360"/>
      </w:pPr>
    </w:lvl>
    <w:lvl w:ilvl="6" w:tplc="325A03A4">
      <w:start w:val="1"/>
      <w:numFmt w:val="decimal"/>
      <w:lvlText w:val="%7."/>
      <w:lvlJc w:val="left"/>
      <w:pPr>
        <w:ind w:left="720" w:hanging="360"/>
      </w:pPr>
    </w:lvl>
    <w:lvl w:ilvl="7" w:tplc="EFAAEC7E">
      <w:start w:val="1"/>
      <w:numFmt w:val="decimal"/>
      <w:lvlText w:val="%8."/>
      <w:lvlJc w:val="left"/>
      <w:pPr>
        <w:ind w:left="720" w:hanging="360"/>
      </w:pPr>
    </w:lvl>
    <w:lvl w:ilvl="8" w:tplc="2C4A9814">
      <w:start w:val="1"/>
      <w:numFmt w:val="decimal"/>
      <w:lvlText w:val="%9."/>
      <w:lvlJc w:val="left"/>
      <w:pPr>
        <w:ind w:left="720" w:hanging="360"/>
      </w:pPr>
    </w:lvl>
  </w:abstractNum>
  <w:num w:numId="1" w16cid:durableId="151331486">
    <w:abstractNumId w:val="7"/>
  </w:num>
  <w:num w:numId="2" w16cid:durableId="784930119">
    <w:abstractNumId w:val="0"/>
  </w:num>
  <w:num w:numId="3" w16cid:durableId="20714211">
    <w:abstractNumId w:val="9"/>
  </w:num>
  <w:num w:numId="4" w16cid:durableId="914778466">
    <w:abstractNumId w:val="4"/>
  </w:num>
  <w:num w:numId="5" w16cid:durableId="1654484850">
    <w:abstractNumId w:val="8"/>
  </w:num>
  <w:num w:numId="6" w16cid:durableId="1207066605">
    <w:abstractNumId w:val="6"/>
  </w:num>
  <w:num w:numId="7" w16cid:durableId="295648918">
    <w:abstractNumId w:val="3"/>
  </w:num>
  <w:num w:numId="8" w16cid:durableId="991367250">
    <w:abstractNumId w:val="1"/>
  </w:num>
  <w:num w:numId="9" w16cid:durableId="1879391484">
    <w:abstractNumId w:val="10"/>
  </w:num>
  <w:num w:numId="10" w16cid:durableId="304043695">
    <w:abstractNumId w:val="5"/>
  </w:num>
  <w:num w:numId="11" w16cid:durableId="33642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1"/>
    <w:rsid w:val="00027033"/>
    <w:rsid w:val="00047C8F"/>
    <w:rsid w:val="000B66BE"/>
    <w:rsid w:val="000F4E58"/>
    <w:rsid w:val="00132A3D"/>
    <w:rsid w:val="0019395E"/>
    <w:rsid w:val="001F559D"/>
    <w:rsid w:val="001F69FD"/>
    <w:rsid w:val="002013CB"/>
    <w:rsid w:val="00210C1E"/>
    <w:rsid w:val="002365B6"/>
    <w:rsid w:val="00252511"/>
    <w:rsid w:val="0027465E"/>
    <w:rsid w:val="002A080F"/>
    <w:rsid w:val="002A0BBC"/>
    <w:rsid w:val="002C69D1"/>
    <w:rsid w:val="002E78D7"/>
    <w:rsid w:val="00326D76"/>
    <w:rsid w:val="00332833"/>
    <w:rsid w:val="00332F26"/>
    <w:rsid w:val="0033426C"/>
    <w:rsid w:val="0034533C"/>
    <w:rsid w:val="00384322"/>
    <w:rsid w:val="003A2BAC"/>
    <w:rsid w:val="003C5C07"/>
    <w:rsid w:val="00417E67"/>
    <w:rsid w:val="004605B7"/>
    <w:rsid w:val="00491846"/>
    <w:rsid w:val="004B1D7D"/>
    <w:rsid w:val="004B72A8"/>
    <w:rsid w:val="00500905"/>
    <w:rsid w:val="0052108A"/>
    <w:rsid w:val="005310C6"/>
    <w:rsid w:val="00532429"/>
    <w:rsid w:val="00534261"/>
    <w:rsid w:val="00554335"/>
    <w:rsid w:val="005619CE"/>
    <w:rsid w:val="00591980"/>
    <w:rsid w:val="005A6E85"/>
    <w:rsid w:val="005A78C1"/>
    <w:rsid w:val="005C7063"/>
    <w:rsid w:val="006428EE"/>
    <w:rsid w:val="00654CC5"/>
    <w:rsid w:val="00671AB1"/>
    <w:rsid w:val="00673D52"/>
    <w:rsid w:val="006B08F3"/>
    <w:rsid w:val="006C662E"/>
    <w:rsid w:val="007405E0"/>
    <w:rsid w:val="0075757D"/>
    <w:rsid w:val="00761DD5"/>
    <w:rsid w:val="00763578"/>
    <w:rsid w:val="00767DAE"/>
    <w:rsid w:val="007A4337"/>
    <w:rsid w:val="007C4AF9"/>
    <w:rsid w:val="007E4452"/>
    <w:rsid w:val="007E670C"/>
    <w:rsid w:val="00813819"/>
    <w:rsid w:val="00844F8B"/>
    <w:rsid w:val="00867E5C"/>
    <w:rsid w:val="00875ECD"/>
    <w:rsid w:val="00882AE7"/>
    <w:rsid w:val="0088466E"/>
    <w:rsid w:val="00893BC8"/>
    <w:rsid w:val="0089605F"/>
    <w:rsid w:val="008962CE"/>
    <w:rsid w:val="008A1BF9"/>
    <w:rsid w:val="008B4B0B"/>
    <w:rsid w:val="008D2639"/>
    <w:rsid w:val="008D4437"/>
    <w:rsid w:val="00927FF4"/>
    <w:rsid w:val="0097757C"/>
    <w:rsid w:val="009807CE"/>
    <w:rsid w:val="009922C5"/>
    <w:rsid w:val="00996D2F"/>
    <w:rsid w:val="009D49C3"/>
    <w:rsid w:val="009E2E2A"/>
    <w:rsid w:val="00A02B96"/>
    <w:rsid w:val="00A120C9"/>
    <w:rsid w:val="00A17957"/>
    <w:rsid w:val="00A21C55"/>
    <w:rsid w:val="00A23011"/>
    <w:rsid w:val="00A26EEE"/>
    <w:rsid w:val="00A30D8A"/>
    <w:rsid w:val="00A60EC3"/>
    <w:rsid w:val="00A62DE4"/>
    <w:rsid w:val="00A936E5"/>
    <w:rsid w:val="00A978B5"/>
    <w:rsid w:val="00B17351"/>
    <w:rsid w:val="00B361DF"/>
    <w:rsid w:val="00B44E7C"/>
    <w:rsid w:val="00B724B5"/>
    <w:rsid w:val="00B75395"/>
    <w:rsid w:val="00B857AC"/>
    <w:rsid w:val="00B85967"/>
    <w:rsid w:val="00B86671"/>
    <w:rsid w:val="00B87854"/>
    <w:rsid w:val="00BA4B09"/>
    <w:rsid w:val="00BB71AA"/>
    <w:rsid w:val="00BC794D"/>
    <w:rsid w:val="00BD4570"/>
    <w:rsid w:val="00BE60C4"/>
    <w:rsid w:val="00C12182"/>
    <w:rsid w:val="00C131C1"/>
    <w:rsid w:val="00C723FE"/>
    <w:rsid w:val="00C974CE"/>
    <w:rsid w:val="00CA5216"/>
    <w:rsid w:val="00CA6A79"/>
    <w:rsid w:val="00CD18FA"/>
    <w:rsid w:val="00CE7CA8"/>
    <w:rsid w:val="00D44878"/>
    <w:rsid w:val="00D542CC"/>
    <w:rsid w:val="00D74CEC"/>
    <w:rsid w:val="00D774F5"/>
    <w:rsid w:val="00D811C3"/>
    <w:rsid w:val="00DA1C6A"/>
    <w:rsid w:val="00DA4090"/>
    <w:rsid w:val="00DB3449"/>
    <w:rsid w:val="00E15053"/>
    <w:rsid w:val="00E353F4"/>
    <w:rsid w:val="00E35A2F"/>
    <w:rsid w:val="00E45159"/>
    <w:rsid w:val="00E5196C"/>
    <w:rsid w:val="00E553B1"/>
    <w:rsid w:val="00E83016"/>
    <w:rsid w:val="00E85EAC"/>
    <w:rsid w:val="00EA258C"/>
    <w:rsid w:val="00EE29BB"/>
    <w:rsid w:val="00F0691E"/>
    <w:rsid w:val="00F17A4B"/>
    <w:rsid w:val="00F24280"/>
    <w:rsid w:val="00F316E8"/>
    <w:rsid w:val="00F31DDC"/>
    <w:rsid w:val="00F3363C"/>
    <w:rsid w:val="00F50211"/>
    <w:rsid w:val="00F558C7"/>
    <w:rsid w:val="00F612D9"/>
    <w:rsid w:val="00F7023E"/>
    <w:rsid w:val="00FA65AA"/>
    <w:rsid w:val="480C80A3"/>
    <w:rsid w:val="58239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CF01"/>
  <w15:chartTrackingRefBased/>
  <w15:docId w15:val="{42671115-B9D6-4FE9-9A0B-6A392402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2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21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10C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10C1E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52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51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27033"/>
    <w:rPr>
      <w:color w:val="666666"/>
    </w:rPr>
  </w:style>
  <w:style w:type="table" w:styleId="TableGrid">
    <w:name w:val="Table Grid"/>
    <w:basedOn w:val="TableNormal"/>
    <w:uiPriority w:val="39"/>
    <w:rsid w:val="00BE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4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FE70B33E6FC41BA9B0AFC403A84D1" ma:contentTypeVersion="6" ma:contentTypeDescription="Create a new document." ma:contentTypeScope="" ma:versionID="53c69fd241c042010dba6e443a13e696">
  <xsd:schema xmlns:xsd="http://www.w3.org/2001/XMLSchema" xmlns:xs="http://www.w3.org/2001/XMLSchema" xmlns:p="http://schemas.microsoft.com/office/2006/metadata/properties" xmlns:ns1="http://schemas.microsoft.com/sharepoint/v3" xmlns:ns2="f60e121d-e5c8-4106-b784-d849021163ab" xmlns:ns3="6ec60af1-6d1e-4575-bf73-1b6e791fcd10" targetNamespace="http://schemas.microsoft.com/office/2006/metadata/properties" ma:root="true" ma:fieldsID="d6a816325f3d5c72f41005efa2edf755" ns1:_="" ns2:_="" ns3:_="">
    <xsd:import namespace="http://schemas.microsoft.com/sharepoint/v3"/>
    <xsd:import namespace="f60e121d-e5c8-4106-b784-d849021163ab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  <xsd:element ref="ns2:Retention_x0020_Review_x0020_Date" minOccurs="0"/>
                <xsd:element ref="ns2:Retention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121d-e5c8-4106-b784-d849021163ab" elementFormDefault="qualified">
    <xsd:import namespace="http://schemas.microsoft.com/office/2006/documentManagement/types"/>
    <xsd:import namespace="http://schemas.microsoft.com/office/infopath/2007/PartnerControls"/>
    <xsd:element name="Retention_x0020_Review_x0020_Date" ma:index="13" nillable="true" ma:displayName="Retention Review Date" ma:format="DateOnly" ma:internalName="Retention_x0020_Review_x0020_Date">
      <xsd:simpleType>
        <xsd:restriction base="dms:DateTime"/>
      </xsd:simpleType>
    </xsd:element>
    <xsd:element name="Retention_x0020_Contact" ma:index="14" nillable="true" ma:displayName="Retention Contact" ma:internalName="Retention_x0020_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Review_x0020_Date xmlns="f60e121d-e5c8-4106-b784-d849021163ab" xsi:nil="true"/>
    <PublishingExpirationDate xmlns="http://schemas.microsoft.com/sharepoint/v3" xsi:nil="true"/>
    <PublishingStartDate xmlns="http://schemas.microsoft.com/sharepoint/v3" xsi:nil="true"/>
    <Retention_x0020_Contact xmlns="f60e121d-e5c8-4106-b784-d849021163ab" xsi:nil="true"/>
  </documentManagement>
</p:properties>
</file>

<file path=customXml/itemProps1.xml><?xml version="1.0" encoding="utf-8"?>
<ds:datastoreItem xmlns:ds="http://schemas.openxmlformats.org/officeDocument/2006/customXml" ds:itemID="{EFE8871B-9B96-4EF5-9335-F093BA436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B9271-7C86-400E-AD71-47E1C7D49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5763F-0F61-4790-9482-019C4A00066F}"/>
</file>

<file path=customXml/itemProps4.xml><?xml version="1.0" encoding="utf-8"?>
<ds:datastoreItem xmlns:ds="http://schemas.openxmlformats.org/officeDocument/2006/customXml" ds:itemID="{B7D3CE10-4666-4B45-A015-7EDF7E518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GRIGGS Stefenie T</dc:creator>
  <cp:keywords/>
  <dc:description/>
  <cp:lastModifiedBy>GRIGGS Stefenie T</cp:lastModifiedBy>
  <cp:revision>3</cp:revision>
  <dcterms:created xsi:type="dcterms:W3CDTF">2024-10-08T19:51:00Z</dcterms:created>
  <dcterms:modified xsi:type="dcterms:W3CDTF">2024-10-08T21:32:00Z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2024-08-21T23:20:49Z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14b3d87f-6e98-4be7-b86e-3d479b3352ed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0x010100E0CFE70B33E6FC41BA9B0AFC403A84D1</vt:lpwstr>
  </property>
</Properties>
</file>