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B068" w14:textId="4D167860" w:rsidR="002B2061" w:rsidRDefault="00F24F1E" w:rsidP="002B2061">
      <w:pPr>
        <w:pStyle w:val="SPTitle"/>
      </w:pPr>
      <w:r>
        <w:t>SP0</w:t>
      </w:r>
      <w:r w:rsidR="001463A5">
        <w:t>2</w:t>
      </w:r>
      <w:r w:rsidR="008E0AF0">
        <w:t>0</w:t>
      </w:r>
      <w:r w:rsidR="001463A5">
        <w:t>50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4D17B0">
        <w:t>11</w:t>
      </w:r>
      <w:r w:rsidR="002B2061" w:rsidRPr="006A72DF">
        <w:t>-01-</w:t>
      </w:r>
      <w:r w:rsidR="002B2061">
        <w:t>2</w:t>
      </w:r>
      <w:r w:rsidR="001463A5">
        <w:t>4</w:t>
      </w:r>
    </w:p>
    <w:p w14:paraId="2062688C" w14:textId="22FAD01F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4D17B0">
        <w:t>07</w:t>
      </w:r>
      <w:r w:rsidR="004326BD">
        <w:t>-</w:t>
      </w:r>
      <w:r w:rsidR="00D721C9">
        <w:t>24</w:t>
      </w:r>
      <w:r w:rsidR="0099023F">
        <w:t>-2</w:t>
      </w:r>
      <w:r w:rsidR="001463A5">
        <w:t>4</w:t>
      </w:r>
      <w:r w:rsidRPr="003F26C2">
        <w:t>)</w:t>
      </w:r>
    </w:p>
    <w:p w14:paraId="7A51895D" w14:textId="77777777" w:rsidR="00D67EFA" w:rsidRPr="0082128E" w:rsidRDefault="00D67EFA"/>
    <w:p w14:paraId="250FB211" w14:textId="1BE38B8D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8E0AF0">
        <w:t>0</w:t>
      </w:r>
      <w:r w:rsidR="001463A5">
        <w:t>50</w:t>
      </w:r>
      <w:r w:rsidR="00C25041" w:rsidRPr="0082128E">
        <w:t> </w:t>
      </w:r>
      <w:r w:rsidR="008E0AF0">
        <w:t>–</w:t>
      </w:r>
      <w:r w:rsidR="00C25041" w:rsidRPr="0082128E">
        <w:t> </w:t>
      </w:r>
      <w:r w:rsidR="008E0AF0">
        <w:t>CURING MATERIALS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65E729D" w:rsidR="00F24F1E" w:rsidRPr="00EF4E4A" w:rsidRDefault="0099023F" w:rsidP="00F24F1E">
      <w:r>
        <w:t>Comply with Section 02</w:t>
      </w:r>
      <w:r w:rsidR="008E0AF0">
        <w:t>0</w:t>
      </w:r>
      <w:r w:rsidR="001463A5">
        <w:t>50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6B8FC796" w14:textId="77777777" w:rsidR="004D17B0" w:rsidRDefault="004D17B0" w:rsidP="004D17B0">
      <w:r w:rsidRPr="0051312A">
        <w:rPr>
          <w:b/>
          <w:bCs/>
        </w:rPr>
        <w:t>02</w:t>
      </w:r>
      <w:r>
        <w:rPr>
          <w:b/>
          <w:bCs/>
        </w:rPr>
        <w:t>0</w:t>
      </w:r>
      <w:r w:rsidRPr="0051312A">
        <w:rPr>
          <w:b/>
          <w:bCs/>
        </w:rPr>
        <w:t>50</w:t>
      </w:r>
      <w:r>
        <w:rPr>
          <w:b/>
          <w:bCs/>
        </w:rPr>
        <w:t>.10</w:t>
      </w:r>
      <w:r w:rsidRPr="0051312A">
        <w:rPr>
          <w:b/>
          <w:bCs/>
        </w:rPr>
        <w:t>  </w:t>
      </w:r>
      <w:r>
        <w:rPr>
          <w:b/>
          <w:bCs/>
        </w:rPr>
        <w:t>Liquid Compounds</w:t>
      </w:r>
      <w:r>
        <w:t> – Replace the paragraph that begins “</w:t>
      </w:r>
      <w:r w:rsidRPr="008E0AF0">
        <w:t>Furnish liquid membrane-forming curing</w:t>
      </w:r>
      <w:r>
        <w:t xml:space="preserve"> …” with the following:</w:t>
      </w:r>
    </w:p>
    <w:p w14:paraId="05E8A63A" w14:textId="77777777" w:rsidR="004D17B0" w:rsidRDefault="004D17B0" w:rsidP="004D17B0"/>
    <w:p w14:paraId="493DC5BA" w14:textId="77777777" w:rsidR="004D17B0" w:rsidRDefault="004D17B0" w:rsidP="004D17B0">
      <w:r w:rsidRPr="008E0AF0">
        <w:t>Furnish liquid membrane-forming curing compounds from the QPL and meeting the requirements of ASTM</w:t>
      </w:r>
      <w:r>
        <w:t> </w:t>
      </w:r>
      <w:r w:rsidRPr="008E0AF0">
        <w:t xml:space="preserve">C309. Before use, submit </w:t>
      </w:r>
      <w:r>
        <w:t>two,</w:t>
      </w:r>
      <w:r w:rsidRPr="008E0AF0">
        <w:t xml:space="preserve"> </w:t>
      </w:r>
      <w:proofErr w:type="gramStart"/>
      <w:r w:rsidRPr="008E0AF0">
        <w:t>one quart</w:t>
      </w:r>
      <w:proofErr w:type="gramEnd"/>
      <w:r w:rsidRPr="008E0AF0">
        <w:t xml:space="preserve"> sample</w:t>
      </w:r>
      <w:r>
        <w:t>s</w:t>
      </w:r>
      <w:r w:rsidRPr="008E0AF0">
        <w:t xml:space="preserve"> from each lot for testing. Samples will be tested according to ODOT</w:t>
      </w:r>
      <w:r>
        <w:t> </w:t>
      </w:r>
      <w:r w:rsidRPr="008E0AF0">
        <w:t>TM</w:t>
      </w:r>
      <w:r>
        <w:t> </w:t>
      </w:r>
      <w:r w:rsidRPr="008E0AF0">
        <w:t>721. Samples are not required for curing compounds used on Commercial Grade Concrete.</w:t>
      </w:r>
    </w:p>
    <w:p w14:paraId="79D555BA" w14:textId="77777777" w:rsidR="00221B55" w:rsidRDefault="00221B55" w:rsidP="00F24F1E"/>
    <w:p w14:paraId="36B2F41C" w14:textId="77777777" w:rsidR="004D17B0" w:rsidRPr="0082128E" w:rsidRDefault="004D17B0" w:rsidP="00F24F1E"/>
    <w:sectPr w:rsidR="004D17B0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FA9AF" w14:textId="77777777" w:rsidR="00BF261F" w:rsidRDefault="00BF261F">
      <w:r>
        <w:separator/>
      </w:r>
    </w:p>
  </w:endnote>
  <w:endnote w:type="continuationSeparator" w:id="0">
    <w:p w14:paraId="78C5ABA9" w14:textId="77777777" w:rsidR="00BF261F" w:rsidRDefault="00BF261F">
      <w:r>
        <w:continuationSeparator/>
      </w:r>
    </w:p>
  </w:endnote>
  <w:endnote w:type="continuationNotice" w:id="1">
    <w:p w14:paraId="0066C2D0" w14:textId="77777777" w:rsidR="00BF261F" w:rsidRDefault="00BF2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F3633" w14:textId="77777777" w:rsidR="00BF261F" w:rsidRDefault="00BF261F">
      <w:r>
        <w:separator/>
      </w:r>
    </w:p>
  </w:footnote>
  <w:footnote w:type="continuationSeparator" w:id="0">
    <w:p w14:paraId="730D0870" w14:textId="77777777" w:rsidR="00BF261F" w:rsidRDefault="00BF261F">
      <w:r>
        <w:continuationSeparator/>
      </w:r>
    </w:p>
  </w:footnote>
  <w:footnote w:type="continuationNotice" w:id="1">
    <w:p w14:paraId="4A27CB5B" w14:textId="77777777" w:rsidR="00BF261F" w:rsidRDefault="00BF26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06E9"/>
    <w:rsid w:val="008E0AF0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870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SP02050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2024-07-02T22:39:00Z</dcterms:created>
  <dcterms:modified xsi:type="dcterms:W3CDTF">2024-07-24T19:11:00Z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