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7097" w14:textId="77777777" w:rsidR="00A04C8F" w:rsidRDefault="00A04C8F">
      <w:pPr>
        <w:spacing w:line="240" w:lineRule="auto"/>
        <w:rPr>
          <w:rFonts w:ascii="Calibri" w:eastAsia="Calibri" w:hAnsi="Calibri" w:cs="Calibri"/>
          <w:sz w:val="2"/>
          <w:szCs w:val="2"/>
        </w:rPr>
      </w:pPr>
    </w:p>
    <w:p w14:paraId="5A052DE7" w14:textId="77777777" w:rsidR="00A04C8F" w:rsidRDefault="00A04C8F">
      <w:pPr>
        <w:spacing w:line="240" w:lineRule="auto"/>
        <w:rPr>
          <w:rFonts w:ascii="Calibri" w:eastAsia="Calibri" w:hAnsi="Calibri" w:cs="Calibri"/>
          <w:sz w:val="2"/>
          <w:szCs w:val="2"/>
        </w:rPr>
      </w:pPr>
    </w:p>
    <w:p w14:paraId="13BEEE6E" w14:textId="77777777" w:rsidR="00A04C8F" w:rsidRDefault="00A04C8F">
      <w:pPr>
        <w:spacing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Style w:val="a0"/>
        <w:tblW w:w="165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417"/>
        <w:gridCol w:w="3870"/>
        <w:gridCol w:w="7830"/>
        <w:gridCol w:w="3421"/>
      </w:tblGrid>
      <w:tr w:rsidR="00A04C8F" w14:paraId="6A5D2F8E" w14:textId="77777777" w:rsidTr="00046C3F">
        <w:trPr>
          <w:jc w:val="center"/>
        </w:trPr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DC0F0" w14:textId="77777777" w:rsidR="00A04C8F" w:rsidRDefault="00F97FE9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</w:t>
            </w:r>
          </w:p>
        </w:tc>
        <w:tc>
          <w:tcPr>
            <w:tcW w:w="3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F7BE5" w14:textId="77777777" w:rsidR="00A04C8F" w:rsidRDefault="00F97FE9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Spending</w:t>
            </w:r>
          </w:p>
        </w:tc>
        <w:tc>
          <w:tcPr>
            <w:tcW w:w="78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0EFB0" w14:textId="77777777" w:rsidR="00A04C8F" w:rsidRDefault="00F97FE9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Guidelines</w:t>
            </w:r>
          </w:p>
        </w:tc>
        <w:tc>
          <w:tcPr>
            <w:tcW w:w="34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7F133" w14:textId="77777777" w:rsidR="00A04C8F" w:rsidRDefault="00F97FE9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Examples</w:t>
            </w:r>
          </w:p>
        </w:tc>
      </w:tr>
      <w:tr w:rsidR="00A04C8F" w14:paraId="26218CD1" w14:textId="77777777" w:rsidTr="00046C3F">
        <w:trPr>
          <w:jc w:val="center"/>
        </w:trPr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64882" w14:textId="77777777" w:rsidR="00A04C8F" w:rsidRDefault="00F97FE9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Family Involvement</w:t>
            </w:r>
          </w:p>
        </w:tc>
        <w:tc>
          <w:tcPr>
            <w:tcW w:w="3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8689C" w14:textId="48BD9D2E" w:rsidR="00A04C8F" w:rsidRDefault="00F97FE9">
            <w:pPr>
              <w:widowControl w:val="0"/>
              <w:spacing w:before="17" w:line="240" w:lineRule="auto"/>
              <w:ind w:right="3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Activities shown to be effective at increasing family and community engagement in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the  school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, including family literacy programs.</w:t>
            </w:r>
          </w:p>
          <w:p w14:paraId="76E20A27" w14:textId="77777777" w:rsidR="00A04C8F" w:rsidRDefault="00A04C8F">
            <w:pPr>
              <w:widowControl w:val="0"/>
              <w:spacing w:before="17" w:line="240" w:lineRule="auto"/>
              <w:ind w:right="365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8AC6012" w14:textId="2D43BA84" w:rsidR="00A04C8F" w:rsidRDefault="00F97FE9">
            <w:pPr>
              <w:widowControl w:val="0"/>
              <w:spacing w:before="18" w:line="240" w:lineRule="auto"/>
              <w:ind w:right="13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Two-generation approaches that consider the needs of both vulnerable children and parents, together, </w:t>
            </w:r>
            <w:r w:rsidR="0053497C">
              <w:rPr>
                <w:rFonts w:ascii="Calibri" w:eastAsia="Calibri" w:hAnsi="Calibri" w:cs="Calibri"/>
                <w:sz w:val="20"/>
                <w:szCs w:val="20"/>
              </w:rPr>
              <w:t>in the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design and delivery of services and programs to support improved economic, educational, health, safety, and other outcomes that address the issues of intergenerational poverty.</w:t>
            </w:r>
          </w:p>
        </w:tc>
        <w:tc>
          <w:tcPr>
            <w:tcW w:w="78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E6D93" w14:textId="77777777" w:rsidR="00A04C8F" w:rsidRDefault="00F97FE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The school may use Title I funds to support accessibility for all by providing the following: </w:t>
            </w:r>
          </w:p>
          <w:p w14:paraId="40EE94D7" w14:textId="77777777" w:rsidR="00A04C8F" w:rsidRDefault="00A04C8F">
            <w:pPr>
              <w:spacing w:line="240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1BD0E04A" w14:textId="77777777" w:rsidR="00A04C8F" w:rsidRDefault="00F97FE9">
            <w:pPr>
              <w:numPr>
                <w:ilvl w:val="0"/>
                <w:numId w:val="2"/>
              </w:numPr>
              <w:spacing w:after="18" w:line="240" w:lineRule="auto"/>
              <w:ind w:left="360" w:hanging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Choices of meeting dates and times based on input from parents/guardians</w:t>
            </w:r>
          </w:p>
          <w:p w14:paraId="373924BD" w14:textId="77777777" w:rsidR="00A04C8F" w:rsidRDefault="00F97FE9">
            <w:pPr>
              <w:numPr>
                <w:ilvl w:val="0"/>
                <w:numId w:val="2"/>
              </w:numPr>
              <w:spacing w:after="18" w:line="240" w:lineRule="auto"/>
              <w:ind w:left="360" w:hanging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Childcare at the school during family engagement meetings </w:t>
            </w:r>
          </w:p>
          <w:p w14:paraId="264346CC" w14:textId="77777777" w:rsidR="00A04C8F" w:rsidRDefault="00F97FE9">
            <w:pPr>
              <w:numPr>
                <w:ilvl w:val="0"/>
                <w:numId w:val="2"/>
              </w:numPr>
              <w:spacing w:after="18" w:line="240" w:lineRule="auto"/>
              <w:ind w:left="360" w:hanging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Transportation</w:t>
            </w:r>
          </w:p>
          <w:p w14:paraId="7DFFB54E" w14:textId="77777777" w:rsidR="00A04C8F" w:rsidRDefault="00F97FE9">
            <w:pPr>
              <w:numPr>
                <w:ilvl w:val="0"/>
                <w:numId w:val="2"/>
              </w:numPr>
              <w:spacing w:after="18" w:line="240" w:lineRule="auto"/>
              <w:ind w:left="360" w:hanging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Supplies for families to take home, such as math games</w:t>
            </w:r>
          </w:p>
        </w:tc>
        <w:tc>
          <w:tcPr>
            <w:tcW w:w="34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7030" w14:textId="77777777" w:rsidR="00A04C8F" w:rsidRDefault="00F97FE9">
            <w:pPr>
              <w:numPr>
                <w:ilvl w:val="0"/>
                <w:numId w:val="1"/>
              </w:numPr>
              <w:spacing w:line="240" w:lineRule="auto"/>
              <w:ind w:left="4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Virtual / Live Book Club</w:t>
            </w:r>
          </w:p>
          <w:p w14:paraId="5E6BCF35" w14:textId="77777777" w:rsidR="00A04C8F" w:rsidRDefault="00F97FE9">
            <w:pPr>
              <w:numPr>
                <w:ilvl w:val="0"/>
                <w:numId w:val="1"/>
              </w:numPr>
              <w:spacing w:line="240" w:lineRule="auto"/>
              <w:ind w:left="4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How to read with your child event</w:t>
            </w:r>
          </w:p>
          <w:p w14:paraId="68F90210" w14:textId="77777777" w:rsidR="00A04C8F" w:rsidRDefault="00F97FE9">
            <w:pPr>
              <w:numPr>
                <w:ilvl w:val="0"/>
                <w:numId w:val="1"/>
              </w:numPr>
              <w:spacing w:line="240" w:lineRule="auto"/>
              <w:ind w:left="4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Family math games event</w:t>
            </w:r>
          </w:p>
          <w:p w14:paraId="33D1098A" w14:textId="77777777" w:rsidR="00A04C8F" w:rsidRDefault="00F97FE9">
            <w:pPr>
              <w:numPr>
                <w:ilvl w:val="0"/>
                <w:numId w:val="1"/>
              </w:numPr>
              <w:spacing w:line="240" w:lineRule="auto"/>
              <w:ind w:left="4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Connect to Kindergarten</w:t>
            </w:r>
          </w:p>
          <w:p w14:paraId="7567B1EB" w14:textId="77777777" w:rsidR="00A04C8F" w:rsidRDefault="00F97FE9">
            <w:pPr>
              <w:numPr>
                <w:ilvl w:val="0"/>
                <w:numId w:val="1"/>
              </w:numPr>
              <w:spacing w:line="240" w:lineRule="auto"/>
              <w:ind w:left="4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Multicultural Night</w:t>
            </w:r>
          </w:p>
        </w:tc>
      </w:tr>
      <w:tr w:rsidR="00A04C8F" w14:paraId="779EBD38" w14:textId="77777777" w:rsidTr="00046C3F">
        <w:trPr>
          <w:jc w:val="center"/>
        </w:trPr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3FEEC" w14:textId="77777777" w:rsidR="00A04C8F" w:rsidRDefault="00F97FE9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Discretionary</w:t>
            </w:r>
          </w:p>
        </w:tc>
        <w:tc>
          <w:tcPr>
            <w:tcW w:w="3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78B23" w14:textId="77777777" w:rsidR="00A04C8F" w:rsidRDefault="00F97FE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Purchase required materials from the </w:t>
            </w:r>
            <w:hyperlink r:id="rId7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Tier II List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6A18AAB" w14:textId="77777777" w:rsidR="00A04C8F" w:rsidRDefault="00A04C8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14:paraId="3E518A81" w14:textId="77777777" w:rsidR="00A04C8F" w:rsidRDefault="00F97FE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Prioritize training for Title staff on materials or strategies needed to deliver intervention effectively.</w:t>
            </w:r>
          </w:p>
          <w:p w14:paraId="593B3C2C" w14:textId="77777777" w:rsidR="00A04C8F" w:rsidRDefault="00A04C8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0803E7F" w14:textId="77777777" w:rsidR="00A04C8F" w:rsidRDefault="00F97FE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Building needs aligned with allowable expenses.</w:t>
            </w:r>
          </w:p>
        </w:tc>
        <w:tc>
          <w:tcPr>
            <w:tcW w:w="78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A7829" w14:textId="77777777" w:rsidR="00A04C8F" w:rsidRDefault="00F97FE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The school may use Title I funds to support any reasonable activity designed to improve the school’s educational program,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as long as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it is consistent with the school’s comprehensive needs assessment and plan.</w:t>
            </w:r>
          </w:p>
          <w:p w14:paraId="5810978E" w14:textId="77777777" w:rsidR="00A04C8F" w:rsidRDefault="00A04C8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F931A8D" w14:textId="77777777" w:rsidR="00A04C8F" w:rsidRDefault="00F97FE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Depending on its needs, a schoolwide program school could use Title I to support: </w:t>
            </w:r>
          </w:p>
          <w:p w14:paraId="196E3F48" w14:textId="77777777" w:rsidR="00A04C8F" w:rsidRDefault="00A04C8F">
            <w:pPr>
              <w:spacing w:line="240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357E7F81" w14:textId="77777777" w:rsidR="00A04C8F" w:rsidRDefault="00F97FE9">
            <w:pPr>
              <w:numPr>
                <w:ilvl w:val="0"/>
                <w:numId w:val="2"/>
              </w:numPr>
              <w:spacing w:after="18" w:line="240" w:lineRule="auto"/>
              <w:ind w:left="360" w:hanging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Increased learning time</w:t>
            </w:r>
          </w:p>
          <w:p w14:paraId="50EE433E" w14:textId="77777777" w:rsidR="00A04C8F" w:rsidRDefault="00F97FE9">
            <w:pPr>
              <w:numPr>
                <w:ilvl w:val="0"/>
                <w:numId w:val="2"/>
              </w:numPr>
              <w:spacing w:after="18" w:line="240" w:lineRule="auto"/>
              <w:ind w:left="360" w:hanging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Evidence-based strategies to accelerate the acquisition of content knowledge for English learners</w:t>
            </w:r>
          </w:p>
          <w:p w14:paraId="5F967105" w14:textId="1A571466" w:rsidR="00A04C8F" w:rsidRDefault="00F97FE9">
            <w:pPr>
              <w:numPr>
                <w:ilvl w:val="0"/>
                <w:numId w:val="2"/>
              </w:numPr>
              <w:spacing w:after="18" w:line="240" w:lineRule="auto"/>
              <w:ind w:left="360" w:hanging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Counseling, school-based mental health programs, mentoring services, and other strategies to improve students’ nonacademic skills </w:t>
            </w:r>
          </w:p>
          <w:p w14:paraId="297AC24E" w14:textId="77777777" w:rsidR="00A04C8F" w:rsidRDefault="00F97FE9">
            <w:pPr>
              <w:numPr>
                <w:ilvl w:val="0"/>
                <w:numId w:val="2"/>
              </w:numPr>
              <w:spacing w:after="18" w:line="240" w:lineRule="auto"/>
              <w:ind w:left="360" w:hanging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School climate interventions (e.g., anti-bullying strategies, positive behavior interventions and supports)</w:t>
            </w:r>
          </w:p>
          <w:p w14:paraId="657CFCFB" w14:textId="19B65A9C" w:rsidR="00A04C8F" w:rsidRDefault="00F97FE9">
            <w:pPr>
              <w:numPr>
                <w:ilvl w:val="0"/>
                <w:numId w:val="2"/>
              </w:numPr>
              <w:spacing w:after="18" w:line="240" w:lineRule="auto"/>
              <w:ind w:left="360" w:hanging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Equipment, materials, and training needed to compile and analyze student achievement data to monitor progress, alert the school to struggling students, and drive decision making</w:t>
            </w:r>
          </w:p>
          <w:p w14:paraId="07021070" w14:textId="03BEC614" w:rsidR="00A04C8F" w:rsidRDefault="00F97FE9">
            <w:pPr>
              <w:numPr>
                <w:ilvl w:val="0"/>
                <w:numId w:val="2"/>
              </w:numPr>
              <w:spacing w:after="18" w:line="240" w:lineRule="auto"/>
              <w:ind w:left="360" w:hanging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Response-to-intervention strategies intended to allow for early identification of students with learning or behavioral needs and to provide a tiered response based on those needs </w:t>
            </w:r>
          </w:p>
          <w:p w14:paraId="256F526C" w14:textId="77777777" w:rsidR="00A04C8F" w:rsidRDefault="00F97FE9">
            <w:pPr>
              <w:numPr>
                <w:ilvl w:val="0"/>
                <w:numId w:val="2"/>
              </w:numPr>
              <w:spacing w:after="18" w:line="240" w:lineRule="auto"/>
              <w:ind w:left="360" w:hanging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Devices and software for students to access digital learning materials and collaborate with peers, and related training for educators (including accessible devices and software needed by students with disabilities). </w:t>
            </w:r>
          </w:p>
          <w:p w14:paraId="753D57B3" w14:textId="77777777" w:rsidR="0053497C" w:rsidRDefault="0053497C" w:rsidP="0053497C">
            <w:pPr>
              <w:spacing w:after="18"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A6503" w14:textId="77777777" w:rsidR="00A04C8F" w:rsidRDefault="00F97FE9">
            <w:pPr>
              <w:numPr>
                <w:ilvl w:val="0"/>
                <w:numId w:val="3"/>
              </w:numPr>
              <w:spacing w:line="240" w:lineRule="auto"/>
              <w:ind w:left="4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MTSS Data Teams</w:t>
            </w:r>
          </w:p>
          <w:p w14:paraId="1FE20F04" w14:textId="77777777" w:rsidR="00A04C8F" w:rsidRDefault="00F97FE9">
            <w:pPr>
              <w:numPr>
                <w:ilvl w:val="0"/>
                <w:numId w:val="3"/>
              </w:numPr>
              <w:spacing w:line="240" w:lineRule="auto"/>
              <w:ind w:left="45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Playworks</w:t>
            </w:r>
            <w:proofErr w:type="spellEnd"/>
          </w:p>
          <w:p w14:paraId="3E66C7A6" w14:textId="77777777" w:rsidR="00A04C8F" w:rsidRDefault="00F97FE9">
            <w:pPr>
              <w:numPr>
                <w:ilvl w:val="0"/>
                <w:numId w:val="3"/>
              </w:numPr>
              <w:spacing w:line="240" w:lineRule="auto"/>
              <w:ind w:left="4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Well-Rounded Activities (i.e. Flocabulary)</w:t>
            </w:r>
          </w:p>
          <w:p w14:paraId="0805F1D1" w14:textId="77777777" w:rsidR="00A04C8F" w:rsidRDefault="00F97FE9">
            <w:pPr>
              <w:numPr>
                <w:ilvl w:val="0"/>
                <w:numId w:val="3"/>
              </w:numPr>
              <w:spacing w:line="240" w:lineRule="auto"/>
              <w:ind w:left="4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Well-Rounded PD (i.e. OR Writing Project)</w:t>
            </w:r>
          </w:p>
          <w:p w14:paraId="671A8F7A" w14:textId="77777777" w:rsidR="00A04C8F" w:rsidRDefault="00F97FE9">
            <w:pPr>
              <w:numPr>
                <w:ilvl w:val="0"/>
                <w:numId w:val="3"/>
              </w:numPr>
              <w:spacing w:line="240" w:lineRule="auto"/>
              <w:ind w:left="4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Leveled Libraries</w:t>
            </w:r>
          </w:p>
          <w:p w14:paraId="00FF3023" w14:textId="77777777" w:rsidR="00A04C8F" w:rsidRDefault="00F97FE9">
            <w:pPr>
              <w:numPr>
                <w:ilvl w:val="0"/>
                <w:numId w:val="3"/>
              </w:numPr>
              <w:spacing w:line="240" w:lineRule="auto"/>
              <w:ind w:left="4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Tier II &amp; III Activities / Materials</w:t>
            </w:r>
          </w:p>
          <w:p w14:paraId="58E66902" w14:textId="77777777" w:rsidR="00A04C8F" w:rsidRDefault="00F97FE9">
            <w:pPr>
              <w:numPr>
                <w:ilvl w:val="0"/>
                <w:numId w:val="3"/>
              </w:numPr>
              <w:spacing w:line="240" w:lineRule="auto"/>
              <w:ind w:left="4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Calm corner supplies</w:t>
            </w:r>
          </w:p>
          <w:p w14:paraId="09BA7A25" w14:textId="77777777" w:rsidR="00A04C8F" w:rsidRDefault="00F97FE9" w:rsidP="00B8499D">
            <w:pPr>
              <w:numPr>
                <w:ilvl w:val="0"/>
                <w:numId w:val="3"/>
              </w:numPr>
              <w:spacing w:line="240" w:lineRule="auto"/>
              <w:ind w:left="4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Games with the principal </w:t>
            </w:r>
          </w:p>
          <w:p w14:paraId="23CC81DD" w14:textId="53EE5786" w:rsidR="00B8499D" w:rsidRDefault="00B8499D" w:rsidP="00B8499D">
            <w:pPr>
              <w:numPr>
                <w:ilvl w:val="0"/>
                <w:numId w:val="3"/>
              </w:numPr>
              <w:spacing w:line="240" w:lineRule="auto"/>
              <w:ind w:left="4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Supplies</w:t>
            </w:r>
          </w:p>
        </w:tc>
      </w:tr>
    </w:tbl>
    <w:p w14:paraId="1FCE078E" w14:textId="77777777" w:rsidR="00A04C8F" w:rsidRDefault="00A04C8F" w:rsidP="0053497C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sectPr w:rsidR="00A04C8F" w:rsidSect="00046C3F">
      <w:headerReference w:type="default" r:id="rId8"/>
      <w:footerReference w:type="default" r:id="rId9"/>
      <w:pgSz w:w="20160" w:h="12240" w:orient="landscape"/>
      <w:pgMar w:top="780" w:right="431" w:bottom="431" w:left="43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A5178" w14:textId="77777777" w:rsidR="00F97FE9" w:rsidRDefault="00F97FE9">
      <w:pPr>
        <w:spacing w:line="240" w:lineRule="auto"/>
      </w:pPr>
      <w:r>
        <w:separator/>
      </w:r>
    </w:p>
  </w:endnote>
  <w:endnote w:type="continuationSeparator" w:id="0">
    <w:p w14:paraId="21C34692" w14:textId="77777777" w:rsidR="00F97FE9" w:rsidRDefault="00F97F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3518B" w14:textId="77777777" w:rsidR="00A04C8F" w:rsidRDefault="00A04C8F">
    <w:pPr>
      <w:rPr>
        <w:sz w:val="2"/>
        <w:szCs w:val="2"/>
      </w:rPr>
    </w:pPr>
  </w:p>
  <w:p w14:paraId="692C2EBD" w14:textId="77777777" w:rsidR="00A04C8F" w:rsidRDefault="00A04C8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3546A" w14:textId="77777777" w:rsidR="00F97FE9" w:rsidRDefault="00F97FE9">
      <w:pPr>
        <w:spacing w:line="240" w:lineRule="auto"/>
      </w:pPr>
      <w:r>
        <w:separator/>
      </w:r>
    </w:p>
  </w:footnote>
  <w:footnote w:type="continuationSeparator" w:id="0">
    <w:p w14:paraId="0789B4AE" w14:textId="77777777" w:rsidR="00F97FE9" w:rsidRDefault="00F97F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89456" w14:textId="77777777" w:rsidR="00046C3F" w:rsidRDefault="00046C3F">
    <w:pPr>
      <w:pStyle w:val="Header"/>
    </w:pPr>
  </w:p>
  <w:p w14:paraId="1EA92168" w14:textId="52F64A2D" w:rsidR="00046C3F" w:rsidRPr="00046C3F" w:rsidRDefault="00046C3F" w:rsidP="00046C3F">
    <w:pPr>
      <w:pStyle w:val="Heading1"/>
      <w:jc w:val="center"/>
      <w:rPr>
        <w:rFonts w:asciiTheme="minorHAnsi" w:hAnsiTheme="minorHAnsi"/>
        <w:color w:val="365F91" w:themeColor="accent1" w:themeShade="BF"/>
        <w:sz w:val="32"/>
        <w:szCs w:val="32"/>
      </w:rPr>
    </w:pPr>
    <w:r w:rsidRPr="00046C3F">
      <w:rPr>
        <w:rFonts w:asciiTheme="minorHAnsi" w:hAnsiTheme="minorHAnsi"/>
        <w:color w:val="365F91" w:themeColor="accent1" w:themeShade="BF"/>
        <w:sz w:val="32"/>
        <w:szCs w:val="32"/>
      </w:rPr>
      <w:t>Spending Guidance for Title I-A (adapted from Parkrose SD)</w:t>
    </w:r>
  </w:p>
  <w:p w14:paraId="01F2B93F" w14:textId="77777777" w:rsidR="00A04C8F" w:rsidRDefault="00A04C8F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91FAB"/>
    <w:multiLevelType w:val="multilevel"/>
    <w:tmpl w:val="30F6A5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9A3BED"/>
    <w:multiLevelType w:val="multilevel"/>
    <w:tmpl w:val="4B580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A1643C"/>
    <w:multiLevelType w:val="multilevel"/>
    <w:tmpl w:val="2542BD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47230151">
    <w:abstractNumId w:val="2"/>
  </w:num>
  <w:num w:numId="2" w16cid:durableId="144861019">
    <w:abstractNumId w:val="1"/>
  </w:num>
  <w:num w:numId="3" w16cid:durableId="140726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8F"/>
    <w:rsid w:val="00046C3F"/>
    <w:rsid w:val="00284A02"/>
    <w:rsid w:val="003B0254"/>
    <w:rsid w:val="0053497C"/>
    <w:rsid w:val="00873D72"/>
    <w:rsid w:val="00A04C8F"/>
    <w:rsid w:val="00B8499D"/>
    <w:rsid w:val="00E83B27"/>
    <w:rsid w:val="00F97FE9"/>
    <w:rsid w:val="00FE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68BEE3"/>
  <w15:docId w15:val="{1C90C41D-488D-46F4-A1FA-9607B4DD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6C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C3F"/>
  </w:style>
  <w:style w:type="paragraph" w:styleId="Footer">
    <w:name w:val="footer"/>
    <w:basedOn w:val="Normal"/>
    <w:link w:val="FooterChar"/>
    <w:uiPriority w:val="99"/>
    <w:unhideWhenUsed/>
    <w:rsid w:val="00046C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LNcf7hebJeVDbYSb4lgl38qU70-lJ-lfegc56JYTnvQ/edit?usp=sharing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96C7C289ABA4D9FDD1361C84C4FA1" ma:contentTypeVersion="7" ma:contentTypeDescription="Create a new document." ma:contentTypeScope="" ma:versionID="94287f402a7a78d13a274b65a129b7fb">
  <xsd:schema xmlns:xsd="http://www.w3.org/2001/XMLSchema" xmlns:xs="http://www.w3.org/2001/XMLSchema" xmlns:p="http://schemas.microsoft.com/office/2006/metadata/properties" xmlns:ns1="http://schemas.microsoft.com/sharepoint/v3" xmlns:ns2="d8b1ca5f-fa87-4d34-92e4-f61eb50f411a" xmlns:ns3="54031767-dd6d-417c-ab73-583408f47564" targetNamespace="http://schemas.microsoft.com/office/2006/metadata/properties" ma:root="true" ma:fieldsID="c2c7294862d16225918a2d29babeedfb" ns1:_="" ns2:_="" ns3:_="">
    <xsd:import namespace="http://schemas.microsoft.com/sharepoint/v3"/>
    <xsd:import namespace="d8b1ca5f-fa87-4d34-92e4-f61eb50f411a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1ca5f-fa87-4d34-92e4-f61eb50f411a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d8b1ca5f-fa87-4d34-92e4-f61eb50f411a" xsi:nil="true"/>
    <Remediation_x0020_Date xmlns="d8b1ca5f-fa87-4d34-92e4-f61eb50f411a">2024-07-30T22:29:46+00:00</Remediation_x0020_Date>
    <PublishingExpirationDate xmlns="http://schemas.microsoft.com/sharepoint/v3" xsi:nil="true"/>
    <PublishingStartDate xmlns="http://schemas.microsoft.com/sharepoint/v3" xsi:nil="true"/>
    <Priority xmlns="d8b1ca5f-fa87-4d34-92e4-f61eb50f411a">New</Priority>
  </documentManagement>
</p:properties>
</file>

<file path=customXml/itemProps1.xml><?xml version="1.0" encoding="utf-8"?>
<ds:datastoreItem xmlns:ds="http://schemas.openxmlformats.org/officeDocument/2006/customXml" ds:itemID="{9077D869-7009-42B3-98C0-81C17DEB92E6}"/>
</file>

<file path=customXml/itemProps2.xml><?xml version="1.0" encoding="utf-8"?>
<ds:datastoreItem xmlns:ds="http://schemas.openxmlformats.org/officeDocument/2006/customXml" ds:itemID="{D816FE76-EB6D-4060-BA3F-F0CA62F3029F}"/>
</file>

<file path=customXml/itemProps3.xml><?xml version="1.0" encoding="utf-8"?>
<ds:datastoreItem xmlns:ds="http://schemas.openxmlformats.org/officeDocument/2006/customXml" ds:itemID="{F88FEA28-6C4B-43E4-B633-2DDCD1ABCF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Spending Guidance for Title I - Parkrose</dc:title>
  <dc:creator>MARTIN Sarah * ODE</dc:creator>
  <cp:lastModifiedBy>MARTIN Sarah * ODE</cp:lastModifiedBy>
  <cp:revision>6</cp:revision>
  <dcterms:created xsi:type="dcterms:W3CDTF">2024-06-05T16:17:00Z</dcterms:created>
  <dcterms:modified xsi:type="dcterms:W3CDTF">2024-07-30T15:55:00Z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2024-06-05T16:17:37Z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f54b5c0a-a93c-4f69-b493-7e9540508db1</vt:lpwstr>
  </property>
  <property fmtid="{D5CDD505-2E9C-101B-9397-08002B2CF9AE}" pid="8" name="MSIP_Label_7730ea53-6f5e-4160-81a5-992a9105450a_ContentBits">
    <vt:lpwstr>0</vt:lpwstr>
  </property>
  <property fmtid="{D5CDD505-2E9C-101B-9397-08002B2CF9AE}" pid="9" name="ContentTypeId">
    <vt:lpwstr>0x01010015196C7C289ABA4D9FDD1361C84C4FA1</vt:lpwstr>
  </property>
</Properties>
</file>