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1FF5668" w14:paraId="1F423159" w14:textId="77777777" w:rsidTr="00756A3A">
        <w:trPr>
          <w:tblHeader/>
        </w:trPr>
        <w:tc>
          <w:tcPr>
            <w:tcW w:w="2160" w:type="dxa"/>
            <w:vAlign w:val="center"/>
          </w:tcPr>
          <w:p w14:paraId="737313A0" w14:textId="4F5EACC1" w:rsidR="11FF5668" w:rsidRDefault="00756A3A" w:rsidP="00216312">
            <w:pPr>
              <w:jc w:val="center"/>
              <w:rPr>
                <w:rFonts w:eastAsia="Arial"/>
                <w:b/>
                <w:bCs/>
                <w:color w:val="082A75"/>
                <w:sz w:val="36"/>
                <w:szCs w:val="36"/>
              </w:rPr>
            </w:pPr>
            <w:r>
              <w:rPr>
                <w:noProof/>
              </w:rPr>
              <w:t>O</w:t>
            </w:r>
            <w:r w:rsidR="11FF5668">
              <w:rPr>
                <w:noProof/>
              </w:rPr>
              <w:drawing>
                <wp:inline distT="0" distB="0" distL="0" distR="0" wp14:anchorId="0834F00A" wp14:editId="26737416">
                  <wp:extent cx="1077554" cy="1145969"/>
                  <wp:effectExtent l="0" t="0" r="8890" b="0"/>
                  <wp:docPr id="19478043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DEE4F12" w14:textId="3026495D" w:rsidR="11FF5668" w:rsidRPr="004815E2" w:rsidRDefault="00352793" w:rsidP="00216312">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Thực hiện của Tiểu Bang</w:t>
            </w:r>
            <w:r w:rsidRPr="003E715C">
              <w:rPr>
                <w:rFonts w:asciiTheme="minorHAnsi" w:eastAsia="Arial" w:hAnsiTheme="minorHAnsi" w:cstheme="minorBidi"/>
                <w:b/>
                <w:bCs/>
                <w:color w:val="1B75BC"/>
                <w:sz w:val="48"/>
                <w:szCs w:val="48"/>
              </w:rPr>
              <w:t xml:space="preserve"> </w:t>
            </w:r>
            <w:r w:rsidR="11FF5668" w:rsidRPr="004815E2">
              <w:rPr>
                <w:rFonts w:asciiTheme="minorHAnsi" w:eastAsia="Arial" w:hAnsiTheme="minorHAnsi" w:cstheme="minorBidi"/>
                <w:b/>
                <w:bCs/>
                <w:color w:val="1B75BC"/>
                <w:sz w:val="48"/>
                <w:szCs w:val="48"/>
              </w:rPr>
              <w:t>(SPP)</w:t>
            </w:r>
          </w:p>
          <w:p w14:paraId="5AEFBCE3" w14:textId="16D3A181" w:rsidR="00352793" w:rsidRPr="003E715C" w:rsidRDefault="00352793" w:rsidP="00352793">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 xml:space="preserve">Tờ </w:t>
            </w:r>
            <w:r w:rsidR="00F4744A">
              <w:rPr>
                <w:rFonts w:asciiTheme="minorHAnsi" w:eastAsia="Arial" w:hAnsiTheme="minorHAnsi" w:cstheme="minorBidi"/>
                <w:b/>
                <w:bCs/>
                <w:color w:val="1B75BC"/>
                <w:sz w:val="48"/>
                <w:szCs w:val="48"/>
              </w:rPr>
              <w:t>dữ kiện</w:t>
            </w:r>
          </w:p>
          <w:p w14:paraId="608186D1" w14:textId="12BC1A5D" w:rsidR="11FF5668" w:rsidRDefault="00352793" w:rsidP="00216312">
            <w:pPr>
              <w:pStyle w:val="Title"/>
              <w:spacing w:after="200"/>
              <w:jc w:val="center"/>
              <w:rPr>
                <w:rFonts w:asciiTheme="minorHAnsi" w:eastAsia="Arial" w:hAnsiTheme="minorHAnsi" w:cstheme="minorBidi"/>
                <w:b/>
                <w:bCs/>
                <w:color w:val="082A75"/>
                <w:sz w:val="32"/>
                <w:szCs w:val="32"/>
              </w:rPr>
            </w:pPr>
            <w:r w:rsidRPr="00EB7DD3">
              <w:rPr>
                <w:rFonts w:asciiTheme="minorHAnsi" w:eastAsia="Arial" w:hAnsiTheme="minorHAnsi" w:cstheme="minorBidi"/>
                <w:b/>
                <w:bCs/>
                <w:color w:val="1B75BC"/>
                <w:sz w:val="32"/>
                <w:szCs w:val="32"/>
              </w:rPr>
              <w:t>Chỉ số</w:t>
            </w:r>
            <w:r w:rsidR="11FF5668" w:rsidRPr="004815E2">
              <w:rPr>
                <w:rFonts w:asciiTheme="minorHAnsi" w:eastAsia="Arial" w:hAnsiTheme="minorHAnsi" w:cstheme="minorBidi"/>
                <w:b/>
                <w:bCs/>
                <w:color w:val="1B75BC"/>
                <w:sz w:val="32"/>
                <w:szCs w:val="32"/>
              </w:rPr>
              <w:t xml:space="preserve"> B8: </w:t>
            </w:r>
            <w:r w:rsidRPr="00352793">
              <w:rPr>
                <w:rFonts w:asciiTheme="minorHAnsi" w:eastAsia="Arial" w:hAnsiTheme="minorHAnsi" w:cstheme="minorBidi"/>
                <w:b/>
                <w:bCs/>
                <w:color w:val="1B75BC"/>
                <w:sz w:val="32"/>
                <w:szCs w:val="32"/>
              </w:rPr>
              <w:t>Sự tham gia củ</w:t>
            </w:r>
            <w:r w:rsidR="00DF018D">
              <w:rPr>
                <w:rFonts w:asciiTheme="minorHAnsi" w:eastAsia="Arial" w:hAnsiTheme="minorHAnsi" w:cstheme="minorBidi"/>
                <w:b/>
                <w:bCs/>
                <w:color w:val="1B75BC"/>
                <w:sz w:val="32"/>
                <w:szCs w:val="32"/>
              </w:rPr>
              <w:t>a P</w:t>
            </w:r>
            <w:r w:rsidRPr="00352793">
              <w:rPr>
                <w:rFonts w:asciiTheme="minorHAnsi" w:eastAsia="Arial" w:hAnsiTheme="minorHAnsi" w:cstheme="minorBidi"/>
                <w:b/>
                <w:bCs/>
                <w:color w:val="1B75BC"/>
                <w:sz w:val="32"/>
                <w:szCs w:val="32"/>
              </w:rPr>
              <w:t>hụ huynh</w:t>
            </w:r>
          </w:p>
        </w:tc>
      </w:tr>
      <w:tr w:rsidR="11FF5668" w14:paraId="2768B57D" w14:textId="77777777" w:rsidTr="11FF5668">
        <w:trPr>
          <w:trHeight w:val="72"/>
        </w:trPr>
        <w:tc>
          <w:tcPr>
            <w:tcW w:w="2484" w:type="dxa"/>
            <w:gridSpan w:val="2"/>
            <w:shd w:val="clear" w:color="auto" w:fill="9F2065"/>
          </w:tcPr>
          <w:p w14:paraId="29FB5325" w14:textId="77777777" w:rsidR="11FF5668" w:rsidRDefault="11FF5668" w:rsidP="00216312">
            <w:pPr>
              <w:rPr>
                <w:noProof/>
              </w:rPr>
            </w:pPr>
          </w:p>
        </w:tc>
        <w:tc>
          <w:tcPr>
            <w:tcW w:w="2484" w:type="dxa"/>
            <w:shd w:val="clear" w:color="auto" w:fill="E26B2A"/>
          </w:tcPr>
          <w:p w14:paraId="7E48A06E" w14:textId="77777777" w:rsidR="11FF5668" w:rsidRDefault="11FF5668" w:rsidP="00216312">
            <w:pPr>
              <w:pStyle w:val="Title"/>
              <w:rPr>
                <w:rFonts w:asciiTheme="minorHAnsi" w:eastAsia="Arial" w:hAnsiTheme="minorHAnsi" w:cstheme="minorBidi"/>
                <w:b/>
                <w:bCs/>
                <w:color w:val="082974"/>
                <w:sz w:val="22"/>
                <w:szCs w:val="22"/>
              </w:rPr>
            </w:pPr>
          </w:p>
        </w:tc>
        <w:tc>
          <w:tcPr>
            <w:tcW w:w="2484" w:type="dxa"/>
            <w:shd w:val="clear" w:color="auto" w:fill="1B75BC"/>
          </w:tcPr>
          <w:p w14:paraId="097FB803" w14:textId="77777777" w:rsidR="11FF5668" w:rsidRDefault="11FF5668" w:rsidP="00216312">
            <w:pPr>
              <w:pStyle w:val="Title"/>
              <w:rPr>
                <w:rFonts w:asciiTheme="minorHAnsi" w:eastAsia="Arial" w:hAnsiTheme="minorHAnsi" w:cstheme="minorBidi"/>
                <w:b/>
                <w:bCs/>
                <w:color w:val="082974"/>
                <w:sz w:val="22"/>
                <w:szCs w:val="22"/>
              </w:rPr>
            </w:pPr>
          </w:p>
        </w:tc>
        <w:tc>
          <w:tcPr>
            <w:tcW w:w="2484" w:type="dxa"/>
            <w:shd w:val="clear" w:color="auto" w:fill="408740"/>
          </w:tcPr>
          <w:p w14:paraId="1E8261A4" w14:textId="46579079" w:rsidR="11FF5668" w:rsidRDefault="11FF5668" w:rsidP="00216312">
            <w:pPr>
              <w:pStyle w:val="Title"/>
              <w:rPr>
                <w:rFonts w:asciiTheme="minorHAnsi" w:eastAsia="Arial" w:hAnsiTheme="minorHAnsi" w:cstheme="minorBidi"/>
                <w:b/>
                <w:bCs/>
                <w:color w:val="082974"/>
                <w:sz w:val="22"/>
                <w:szCs w:val="22"/>
              </w:rPr>
            </w:pPr>
          </w:p>
        </w:tc>
      </w:tr>
    </w:tbl>
    <w:p w14:paraId="2D7E9578" w14:textId="30CD855C" w:rsidR="4B7778E9" w:rsidRPr="004815E2" w:rsidRDefault="005464EB" w:rsidP="005464EB">
      <w:pPr>
        <w:pStyle w:val="Heading1"/>
        <w:spacing w:before="120" w:line="240" w:lineRule="auto"/>
        <w:rPr>
          <w:rFonts w:ascii="Calibri" w:eastAsia="Calibri" w:hAnsi="Calibri" w:cs="Calibri"/>
          <w:color w:val="1B75BC"/>
        </w:rPr>
      </w:pPr>
      <w:r w:rsidRPr="00EB7DD3">
        <w:rPr>
          <w:rFonts w:ascii="Calibri" w:eastAsia="Calibri" w:hAnsi="Calibri" w:cs="Calibri"/>
          <w:b/>
          <w:bCs/>
          <w:color w:val="1B75BC"/>
        </w:rPr>
        <w:t xml:space="preserve">Kế hoạch </w:t>
      </w:r>
      <w:r w:rsidR="001A4D20">
        <w:rPr>
          <w:rFonts w:ascii="Calibri" w:eastAsia="Calibri" w:hAnsi="Calibri" w:cs="Calibri"/>
          <w:b/>
          <w:bCs/>
          <w:color w:val="1B75BC"/>
        </w:rPr>
        <w:t>T</w:t>
      </w:r>
      <w:r>
        <w:rPr>
          <w:rFonts w:ascii="Calibri" w:eastAsia="Calibri" w:hAnsi="Calibri" w:cs="Calibri"/>
          <w:b/>
          <w:bCs/>
          <w:color w:val="1B75BC"/>
        </w:rPr>
        <w:t>hực hiện</w:t>
      </w:r>
      <w:r w:rsidRPr="00EB7DD3">
        <w:rPr>
          <w:rFonts w:ascii="Calibri" w:eastAsia="Calibri" w:hAnsi="Calibri" w:cs="Calibri"/>
          <w:b/>
          <w:bCs/>
          <w:color w:val="1B75BC"/>
        </w:rPr>
        <w:t xml:space="preserve"> của Tiểu bang Oregon</w:t>
      </w:r>
    </w:p>
    <w:p w14:paraId="4E60041F" w14:textId="1F4985EC" w:rsidR="005464EB" w:rsidRDefault="009D6766" w:rsidP="005464EB">
      <w:pPr>
        <w:spacing w:after="0" w:line="240" w:lineRule="auto"/>
        <w:rPr>
          <w:rFonts w:ascii="Calibri" w:eastAsia="Calibri" w:hAnsi="Calibri" w:cs="Calibri"/>
          <w:color w:val="000000" w:themeColor="text1"/>
        </w:rPr>
      </w:pPr>
      <w:bookmarkStart w:id="0"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1A4D20">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0"/>
      <w:r w:rsidR="005464EB" w:rsidRPr="00295FEA">
        <w:rPr>
          <w:rFonts w:ascii="Calibri" w:eastAsia="Calibri" w:hAnsi="Calibri" w:cs="Calibri"/>
          <w:color w:val="000000" w:themeColor="text1"/>
        </w:rPr>
        <w:t xml:space="preserve">OSEP đã phát triển các biện pháp thực hiện chính, được gọi là các chỉ số, để đo lường cả </w:t>
      </w:r>
      <w:r w:rsidR="005464EB">
        <w:rPr>
          <w:rFonts w:ascii="Calibri" w:eastAsia="Calibri" w:hAnsi="Calibri" w:cs="Calibri"/>
          <w:color w:val="000000" w:themeColor="text1"/>
        </w:rPr>
        <w:t xml:space="preserve">việc </w:t>
      </w:r>
      <w:r w:rsidR="005464EB" w:rsidRPr="00295FEA">
        <w:rPr>
          <w:rFonts w:ascii="Calibri" w:eastAsia="Calibri" w:hAnsi="Calibri" w:cs="Calibri"/>
          <w:color w:val="000000" w:themeColor="text1"/>
        </w:rPr>
        <w:t>tuân thủ và kết quả. OSEP đặt ra các mục tiêu cho các chỉ số tuân thủ</w:t>
      </w:r>
      <w:r w:rsidR="005464EB">
        <w:rPr>
          <w:rFonts w:ascii="Calibri" w:eastAsia="Calibri" w:hAnsi="Calibri" w:cs="Calibri"/>
          <w:color w:val="000000" w:themeColor="text1"/>
        </w:rPr>
        <w:t xml:space="preserve">, đồng thời, </w:t>
      </w:r>
      <w:r w:rsidR="005464EB" w:rsidRPr="00295FEA">
        <w:rPr>
          <w:rFonts w:ascii="Calibri" w:eastAsia="Calibri" w:hAnsi="Calibri" w:cs="Calibri"/>
          <w:color w:val="000000" w:themeColor="text1"/>
        </w:rPr>
        <w:t xml:space="preserve">ODE </w:t>
      </w:r>
      <w:r w:rsidR="005464EB">
        <w:rPr>
          <w:rFonts w:ascii="Calibri" w:eastAsia="Calibri" w:hAnsi="Calibri" w:cs="Calibri"/>
          <w:color w:val="000000" w:themeColor="text1"/>
        </w:rPr>
        <w:t xml:space="preserve">cũng </w:t>
      </w:r>
      <w:r w:rsidR="005464EB" w:rsidRPr="00295FEA">
        <w:rPr>
          <w:rFonts w:ascii="Calibri" w:eastAsia="Calibri" w:hAnsi="Calibri" w:cs="Calibri"/>
          <w:color w:val="000000" w:themeColor="text1"/>
        </w:rPr>
        <w:t xml:space="preserve">đặt ra các mục tiêu cho các chỉ số kết quả. SPP phải bao gồm các mục tiêu cho </w:t>
      </w:r>
      <w:r w:rsidR="005464EB">
        <w:rPr>
          <w:rFonts w:ascii="Calibri" w:eastAsia="Calibri" w:hAnsi="Calibri" w:cs="Calibri"/>
          <w:color w:val="000000" w:themeColor="text1"/>
        </w:rPr>
        <w:t>từng</w:t>
      </w:r>
      <w:r w:rsidR="005464EB" w:rsidRPr="00295FEA">
        <w:rPr>
          <w:rFonts w:ascii="Calibri" w:eastAsia="Calibri" w:hAnsi="Calibri" w:cs="Calibri"/>
          <w:color w:val="000000" w:themeColor="text1"/>
        </w:rPr>
        <w:t xml:space="preserve"> chỉ số kết quả. ODE báo cáo về tiến độ đạt được các chỉ số này hàng năm trong Báo cáo </w:t>
      </w:r>
      <w:r w:rsidR="005464EB">
        <w:rPr>
          <w:rFonts w:ascii="Calibri" w:eastAsia="Calibri" w:hAnsi="Calibri" w:cs="Calibri"/>
          <w:color w:val="000000" w:themeColor="text1"/>
        </w:rPr>
        <w:t>Thực hiện</w:t>
      </w:r>
      <w:r w:rsidR="005464EB" w:rsidRPr="00295FEA">
        <w:rPr>
          <w:rFonts w:ascii="Calibri" w:eastAsia="Calibri" w:hAnsi="Calibri" w:cs="Calibri"/>
          <w:color w:val="000000" w:themeColor="text1"/>
        </w:rPr>
        <w:t xml:space="preserve"> Hàng năm (APR). Cứ sáu năm ODE phải xem xét các mục tiêu kết quả và thu hút các đối tác chính trong việc phát triển các mục tiêu mới. ODE hiện đang tìm kiếm thông tin </w:t>
      </w:r>
      <w:r w:rsidR="005464EB">
        <w:rPr>
          <w:rFonts w:ascii="Calibri" w:eastAsia="Calibri" w:hAnsi="Calibri" w:cs="Calibri"/>
          <w:color w:val="000000" w:themeColor="text1"/>
        </w:rPr>
        <w:t>đóng góp ý kiến</w:t>
      </w:r>
      <w:r w:rsidR="005464EB" w:rsidRPr="00295FEA">
        <w:rPr>
          <w:rFonts w:ascii="Calibri" w:eastAsia="Calibri" w:hAnsi="Calibri" w:cs="Calibri"/>
          <w:color w:val="000000" w:themeColor="text1"/>
        </w:rPr>
        <w:t xml:space="preserve"> liên quan đến các chỉ số mà mục tiêu phải được thiết lập và sẽ tổ chức phiên đóng góp ý kiến ​​công khai để thảo luận về dữ liệu liên quan đến chỉ số này vào tháng 12 năm 2021. Vui lòng xem </w:t>
      </w:r>
      <w:r w:rsidR="005464EB" w:rsidRPr="004F28D8">
        <w:rPr>
          <w:rStyle w:val="Hyperlink"/>
        </w:rPr>
        <w:t>Kế hoạch Thực hiện của Tiểu bang ODE và các Báo cáo Hàng năm trên trang web Giáo dục Đặc biệt</w:t>
      </w:r>
      <w:r w:rsidR="005464EB" w:rsidRPr="00295FEA">
        <w:rPr>
          <w:rFonts w:ascii="Calibri" w:eastAsia="Calibri" w:hAnsi="Calibri" w:cs="Calibri"/>
          <w:color w:val="000000" w:themeColor="text1"/>
        </w:rPr>
        <w:t xml:space="preserve"> để biết thêm thông tin và đăng ký </w:t>
      </w:r>
      <w:r w:rsidR="005464EB">
        <w:rPr>
          <w:rFonts w:ascii="Calibri" w:eastAsia="Calibri" w:hAnsi="Calibri" w:cs="Calibri"/>
          <w:color w:val="000000" w:themeColor="text1"/>
        </w:rPr>
        <w:t xml:space="preserve">tham gia </w:t>
      </w:r>
      <w:r w:rsidR="005464EB" w:rsidRPr="00295FEA">
        <w:rPr>
          <w:rFonts w:ascii="Calibri" w:eastAsia="Calibri" w:hAnsi="Calibri" w:cs="Calibri"/>
          <w:color w:val="000000" w:themeColor="text1"/>
        </w:rPr>
        <w:t xml:space="preserve">phiên đóng góp ý kiến ​​công khai. </w:t>
      </w:r>
      <w:r w:rsidR="00C310E0">
        <w:rPr>
          <w:rFonts w:ascii="Calibri" w:eastAsia="Calibri" w:hAnsi="Calibri" w:cs="Calibri"/>
          <w:color w:val="000000" w:themeColor="text1"/>
        </w:rPr>
        <w:t>Quý vị</w:t>
      </w:r>
      <w:r w:rsidR="005464EB" w:rsidRPr="00295FEA">
        <w:rPr>
          <w:rFonts w:ascii="Calibri" w:eastAsia="Calibri" w:hAnsi="Calibri" w:cs="Calibri"/>
          <w:color w:val="000000" w:themeColor="text1"/>
        </w:rPr>
        <w:t xml:space="preserve"> cũng có thể cung cấp thông tin </w:t>
      </w:r>
      <w:r w:rsidR="005464EB">
        <w:rPr>
          <w:rFonts w:ascii="Calibri" w:eastAsia="Calibri" w:hAnsi="Calibri" w:cs="Calibri"/>
          <w:color w:val="000000" w:themeColor="text1"/>
        </w:rPr>
        <w:t>đóng góp ý kiến</w:t>
      </w:r>
      <w:r w:rsidR="005464EB" w:rsidRPr="00295FEA">
        <w:rPr>
          <w:rFonts w:ascii="Calibri" w:eastAsia="Calibri" w:hAnsi="Calibri" w:cs="Calibri"/>
          <w:color w:val="000000" w:themeColor="text1"/>
        </w:rPr>
        <w:t xml:space="preserve"> mà không cần tham dự phiên họp thông qua </w:t>
      </w:r>
      <w:r w:rsidR="005464EB" w:rsidRPr="00DD439B">
        <w:rPr>
          <w:rStyle w:val="Hyperlink"/>
        </w:rPr>
        <w:t>khảo sát này.</w:t>
      </w:r>
    </w:p>
    <w:p w14:paraId="4CCD5481" w14:textId="77777777" w:rsidR="005464EB" w:rsidRDefault="005464EB" w:rsidP="00216312">
      <w:pPr>
        <w:spacing w:after="0" w:line="240" w:lineRule="auto"/>
        <w:rPr>
          <w:rFonts w:ascii="Calibri" w:eastAsia="Calibri" w:hAnsi="Calibri" w:cs="Calibri"/>
          <w:color w:val="000000" w:themeColor="text1"/>
        </w:rPr>
      </w:pPr>
    </w:p>
    <w:p w14:paraId="4B73E1C3" w14:textId="48C92FA5" w:rsidR="000E4FA0" w:rsidRPr="004815E2" w:rsidRDefault="00DF018D" w:rsidP="00DF018D">
      <w:pPr>
        <w:pStyle w:val="Heading1"/>
        <w:spacing w:before="120" w:line="240" w:lineRule="auto"/>
        <w:rPr>
          <w:rFonts w:asciiTheme="minorHAnsi" w:hAnsiTheme="minorHAnsi" w:cstheme="minorBidi"/>
          <w:b/>
          <w:bCs/>
          <w:color w:val="1B75BC"/>
        </w:rPr>
      </w:pPr>
      <w:r>
        <w:rPr>
          <w:rFonts w:asciiTheme="minorHAnsi" w:hAnsiTheme="minorHAnsi" w:cstheme="minorBidi"/>
          <w:b/>
          <w:bCs/>
          <w:color w:val="1B75BC"/>
        </w:rPr>
        <w:t>Chỉ số này đo lường điều gì và tại sao nó lại đóng vai trò quan trọng?</w:t>
      </w:r>
    </w:p>
    <w:p w14:paraId="7FBD98C2" w14:textId="60B7E53A" w:rsidR="00DF018D" w:rsidRPr="00DF018D" w:rsidRDefault="00DF018D" w:rsidP="00216312">
      <w:pPr>
        <w:spacing w:line="240" w:lineRule="auto"/>
      </w:pPr>
      <w:r w:rsidRPr="00782E34">
        <w:t>Chỉ số</w:t>
      </w:r>
      <w:r>
        <w:t xml:space="preserve"> B8</w:t>
      </w:r>
      <w:r w:rsidRPr="00782E34">
        <w:t xml:space="preserve"> đề cập đến một nền Giáo dụ</w:t>
      </w:r>
      <w:r>
        <w:t>c Công lập T</w:t>
      </w:r>
      <w:r w:rsidRPr="00782E34">
        <w:t xml:space="preserve">hích hợp Miễn phí (FAPE) trong Môi </w:t>
      </w:r>
      <w:r w:rsidR="00DB63DC">
        <w:t>t</w:t>
      </w:r>
      <w:r w:rsidRPr="00782E34">
        <w:t xml:space="preserve">rường Ít </w:t>
      </w:r>
      <w:r w:rsidR="00DB63DC" w:rsidRPr="00782E34">
        <w:t>bị hạn chế nhất</w:t>
      </w:r>
      <w:r w:rsidR="00DB63DC">
        <w:t xml:space="preserve"> </w:t>
      </w:r>
      <w:r>
        <w:t>(</w:t>
      </w:r>
      <w:r w:rsidRPr="00782E34">
        <w:t>LRE</w:t>
      </w:r>
      <w:r>
        <w:t>)</w:t>
      </w:r>
      <w:r w:rsidRPr="00782E34">
        <w:t>, bằng cách đo lường</w:t>
      </w:r>
      <w:r>
        <w:t xml:space="preserve"> tỷ lệ </w:t>
      </w:r>
      <w:r w:rsidRPr="00DF018D">
        <w:t>phần trăm phụ huynh có con nhận các dịch vụ giáo dục đặc biệt báo cáo rằng trường học đã tạo điều kiện cho sự tham gia của phụ huynh như một phương tiện cải thiện dịch vụ và kết quả cho trẻ khuyết tật.</w:t>
      </w:r>
    </w:p>
    <w:p w14:paraId="21AABC0C" w14:textId="2C283178" w:rsidR="6CBDC2CC" w:rsidRPr="004815E2" w:rsidRDefault="00DF018D" w:rsidP="00DF018D">
      <w:pPr>
        <w:pStyle w:val="Heading1"/>
        <w:spacing w:before="0" w:line="240" w:lineRule="auto"/>
        <w:rPr>
          <w:rFonts w:asciiTheme="minorHAnsi" w:hAnsiTheme="minorHAnsi" w:cstheme="minorBidi"/>
          <w:b/>
          <w:bCs/>
          <w:color w:val="1B75BC"/>
        </w:rPr>
      </w:pPr>
      <w:r w:rsidRPr="00791B11">
        <w:rPr>
          <w:rFonts w:asciiTheme="minorHAnsi" w:hAnsiTheme="minorHAnsi" w:cstheme="minorBidi"/>
          <w:b/>
          <w:bCs/>
          <w:color w:val="1B75BC"/>
        </w:rPr>
        <w:t>Nguồn dữ liệu là gì?</w:t>
      </w:r>
    </w:p>
    <w:p w14:paraId="179B0E6C" w14:textId="3942BAA6" w:rsidR="3C1E556C" w:rsidRDefault="00DF018D" w:rsidP="00216312">
      <w:pPr>
        <w:spacing w:after="80" w:line="240" w:lineRule="auto"/>
        <w:rPr>
          <w:rFonts w:eastAsiaTheme="minorEastAsia"/>
          <w:color w:val="000000" w:themeColor="text1"/>
        </w:rPr>
      </w:pPr>
      <w:r w:rsidRPr="00DF018D">
        <w:rPr>
          <w:rFonts w:eastAsiaTheme="minorEastAsia"/>
          <w:color w:val="000000" w:themeColor="text1"/>
        </w:rPr>
        <w:t>Thông qua một nhà thầu, Oregon thực hiện các cuộc khảo sát phụ huynh hàng năm đối với các gia đình được chọn thông qua quy trình lấy mẫu.</w:t>
      </w:r>
    </w:p>
    <w:p w14:paraId="7CA20121" w14:textId="19D7962D" w:rsidR="00536341" w:rsidRPr="004815E2" w:rsidRDefault="00DF018D" w:rsidP="00DF018D">
      <w:pPr>
        <w:pStyle w:val="Heading1"/>
        <w:spacing w:before="120" w:line="240" w:lineRule="auto"/>
        <w:rPr>
          <w:rFonts w:asciiTheme="minorHAnsi" w:hAnsiTheme="minorHAnsi" w:cstheme="minorBidi"/>
          <w:b/>
          <w:bCs/>
          <w:color w:val="1B75BC"/>
        </w:rPr>
      </w:pPr>
      <w:r w:rsidRPr="00577406">
        <w:rPr>
          <w:rFonts w:asciiTheme="minorHAnsi" w:hAnsiTheme="minorHAnsi" w:cstheme="minorBidi"/>
          <w:b/>
          <w:bCs/>
          <w:color w:val="1B75BC"/>
        </w:rPr>
        <w:t xml:space="preserve">Có cần thiết lập hoặc </w:t>
      </w:r>
      <w:r>
        <w:rPr>
          <w:rFonts w:asciiTheme="minorHAnsi" w:hAnsiTheme="minorHAnsi" w:cstheme="minorBidi"/>
          <w:b/>
          <w:bCs/>
          <w:color w:val="1B75BC"/>
        </w:rPr>
        <w:t>thiết lập</w:t>
      </w:r>
      <w:r w:rsidRPr="00577406">
        <w:rPr>
          <w:rFonts w:asciiTheme="minorHAnsi" w:hAnsiTheme="minorHAnsi" w:cstheme="minorBidi"/>
          <w:b/>
          <w:bCs/>
          <w:color w:val="1B75BC"/>
        </w:rPr>
        <w:t xml:space="preserve"> lại </w:t>
      </w:r>
      <w:r w:rsidR="008B2F86">
        <w:rPr>
          <w:rFonts w:asciiTheme="minorHAnsi" w:hAnsiTheme="minorHAnsi" w:cstheme="minorBidi"/>
          <w:b/>
          <w:bCs/>
          <w:color w:val="1B75BC"/>
        </w:rPr>
        <w:t>căn bản</w:t>
      </w:r>
      <w:r w:rsidRPr="00577406">
        <w:rPr>
          <w:rFonts w:asciiTheme="minorHAnsi" w:hAnsiTheme="minorHAnsi" w:cstheme="minorBidi"/>
          <w:b/>
          <w:bCs/>
          <w:color w:val="1B75BC"/>
        </w:rPr>
        <w:t xml:space="preserve"> cho chỉ số này không?</w:t>
      </w:r>
    </w:p>
    <w:p w14:paraId="6E124765" w14:textId="2386F375" w:rsidR="00536341" w:rsidRDefault="00DF018D" w:rsidP="00536341">
      <w:pPr>
        <w:spacing w:after="120" w:line="240" w:lineRule="auto"/>
      </w:pPr>
      <w:r w:rsidRPr="00DF018D">
        <w:t xml:space="preserve">Có, ODE đề xuất sử dụng dữ liệu có sẵn gần đây nhất của chúng tôi làm </w:t>
      </w:r>
      <w:r w:rsidR="008B2F86">
        <w:t>căn bản</w:t>
      </w:r>
      <w:r w:rsidRPr="00DF018D">
        <w:t xml:space="preserve"> mới cho chỉ số này cho Kế hoạch </w:t>
      </w:r>
      <w:r>
        <w:t>Thực hiện của</w:t>
      </w:r>
      <w:r w:rsidRPr="00DF018D">
        <w:t xml:space="preserve"> Tiểu bang </w:t>
      </w:r>
      <w:r w:rsidR="007275DC">
        <w:t xml:space="preserve">trong Năm tài chính liên bang (FFY) 2020-2025 </w:t>
      </w:r>
      <w:r w:rsidRPr="00DF018D">
        <w:t>như sau:</w:t>
      </w:r>
    </w:p>
    <w:tbl>
      <w:tblPr>
        <w:tblW w:w="0" w:type="auto"/>
        <w:jc w:val="center"/>
        <w:tblLayout w:type="fixed"/>
        <w:tblLook w:val="06A0" w:firstRow="1" w:lastRow="0" w:firstColumn="1" w:lastColumn="0" w:noHBand="1" w:noVBand="1"/>
      </w:tblPr>
      <w:tblGrid>
        <w:gridCol w:w="3322"/>
      </w:tblGrid>
      <w:tr w:rsidR="00536341" w:rsidRPr="00EC1479" w14:paraId="04A2C2AB"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shd w:val="clear" w:color="auto" w:fill="FFC000" w:themeFill="accent4"/>
            <w:vAlign w:val="center"/>
          </w:tcPr>
          <w:p w14:paraId="4E49E9FF" w14:textId="4549A4B3" w:rsidR="00536341" w:rsidRPr="00EC1479" w:rsidRDefault="008B2F86" w:rsidP="00D41862">
            <w:pPr>
              <w:spacing w:before="60" w:after="60" w:line="240" w:lineRule="auto"/>
              <w:jc w:val="center"/>
              <w:rPr>
                <w:rFonts w:eastAsia="Arial" w:cstheme="minorHAnsi"/>
                <w:b/>
                <w:bCs/>
                <w:color w:val="000000" w:themeColor="text1"/>
              </w:rPr>
            </w:pPr>
            <w:r>
              <w:rPr>
                <w:rFonts w:eastAsia="Arial" w:cstheme="minorHAnsi"/>
                <w:b/>
                <w:bCs/>
                <w:color w:val="000000" w:themeColor="text1"/>
              </w:rPr>
              <w:t>Căn bản</w:t>
            </w:r>
            <w:r w:rsidR="00DF018D">
              <w:rPr>
                <w:rFonts w:eastAsia="Arial" w:cstheme="minorHAnsi"/>
                <w:b/>
                <w:bCs/>
                <w:color w:val="000000" w:themeColor="text1"/>
              </w:rPr>
              <w:t xml:space="preserve"> Mới</w:t>
            </w:r>
          </w:p>
        </w:tc>
      </w:tr>
      <w:tr w:rsidR="00536341" w:rsidRPr="00EC1479" w14:paraId="31FEE86C"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7312C43A" w14:textId="44610500" w:rsidR="00536341" w:rsidRPr="00EC1479" w:rsidRDefault="00DF018D" w:rsidP="00D41862">
            <w:pPr>
              <w:spacing w:before="60" w:after="60" w:line="240" w:lineRule="auto"/>
              <w:jc w:val="center"/>
              <w:rPr>
                <w:rFonts w:eastAsia="Arial" w:cstheme="minorHAnsi"/>
                <w:color w:val="000000" w:themeColor="text1"/>
              </w:rPr>
            </w:pPr>
            <w:r>
              <w:rPr>
                <w:rFonts w:eastAsia="Arial" w:cstheme="minorHAnsi"/>
                <w:color w:val="000000" w:themeColor="text1"/>
              </w:rPr>
              <w:t>Mầm non</w:t>
            </w:r>
            <w:r w:rsidR="00536341" w:rsidRPr="00EC1479">
              <w:rPr>
                <w:rFonts w:eastAsia="Arial" w:cstheme="minorHAnsi"/>
                <w:color w:val="000000" w:themeColor="text1"/>
              </w:rPr>
              <w:t>/B619 = 88.99%</w:t>
            </w:r>
          </w:p>
        </w:tc>
      </w:tr>
      <w:tr w:rsidR="00536341" w:rsidRPr="00EC1479" w14:paraId="4B057E1D"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1B273ABF" w14:textId="2A9ACEC6" w:rsidR="00536341" w:rsidRPr="00EC1479" w:rsidRDefault="00DF018D" w:rsidP="00D41862">
            <w:pPr>
              <w:spacing w:before="60" w:after="60" w:line="240" w:lineRule="auto"/>
              <w:jc w:val="center"/>
              <w:rPr>
                <w:rFonts w:eastAsia="Arial" w:cstheme="minorHAnsi"/>
                <w:color w:val="000000" w:themeColor="text1"/>
              </w:rPr>
            </w:pPr>
            <w:r>
              <w:rPr>
                <w:rFonts w:eastAsia="Arial" w:cstheme="minorHAnsi"/>
                <w:color w:val="000000" w:themeColor="text1"/>
              </w:rPr>
              <w:t>Tuổi đến trường</w:t>
            </w:r>
            <w:r w:rsidR="00536341" w:rsidRPr="00EC1479">
              <w:rPr>
                <w:rFonts w:eastAsia="Arial" w:cstheme="minorHAnsi"/>
                <w:color w:val="000000" w:themeColor="text1"/>
              </w:rPr>
              <w:t>/B611 = 83.56%</w:t>
            </w:r>
          </w:p>
        </w:tc>
      </w:tr>
    </w:tbl>
    <w:p w14:paraId="0A61ADA5" w14:textId="78233D1A" w:rsidR="00C06C4E" w:rsidRPr="004815E2" w:rsidRDefault="00DF018D" w:rsidP="00EC1479">
      <w:pPr>
        <w:pStyle w:val="Heading1"/>
        <w:spacing w:after="120" w:line="240" w:lineRule="auto"/>
        <w:rPr>
          <w:rFonts w:asciiTheme="minorHAnsi" w:hAnsiTheme="minorHAnsi" w:cstheme="minorBidi"/>
          <w:b/>
          <w:bCs/>
          <w:color w:val="1B75BC"/>
        </w:rPr>
      </w:pPr>
      <w:r w:rsidRPr="00577406">
        <w:rPr>
          <w:rFonts w:asciiTheme="minorHAnsi" w:hAnsiTheme="minorHAnsi" w:cstheme="minorBidi"/>
          <w:b/>
          <w:bCs/>
          <w:color w:val="1B75BC"/>
        </w:rPr>
        <w:lastRenderedPageBreak/>
        <w:t xml:space="preserve">Oregon đã </w:t>
      </w:r>
      <w:r>
        <w:rPr>
          <w:rFonts w:asciiTheme="minorHAnsi" w:hAnsiTheme="minorHAnsi" w:cstheme="minorBidi"/>
          <w:b/>
          <w:bCs/>
          <w:color w:val="1B75BC"/>
        </w:rPr>
        <w:t>thực hiện</w:t>
      </w:r>
      <w:r w:rsidRPr="00577406">
        <w:rPr>
          <w:rFonts w:asciiTheme="minorHAnsi" w:hAnsiTheme="minorHAnsi" w:cstheme="minorBidi"/>
          <w:b/>
          <w:bCs/>
          <w:color w:val="1B75BC"/>
        </w:rPr>
        <w:t xml:space="preserve"> như thế nào trong thời gian qua?</w:t>
      </w:r>
    </w:p>
    <w:p w14:paraId="787CC78E" w14:textId="77777777" w:rsidR="00E14876" w:rsidRDefault="00536341" w:rsidP="00536341">
      <w:pPr>
        <w:rPr>
          <w:noProof/>
        </w:rPr>
      </w:pPr>
      <w:r>
        <w:rPr>
          <w:noProof/>
        </w:rPr>
        <w:drawing>
          <wp:inline distT="0" distB="0" distL="0" distR="0" wp14:anchorId="7DF37FFA" wp14:editId="65F9A69E">
            <wp:extent cx="6400800" cy="2743200"/>
            <wp:effectExtent l="0" t="0" r="0" b="0"/>
            <wp:docPr id="1" name="Chart 1" title="Dữ liệu Chỉ số B8 (Sự tham gia của Phụ huynh) của Oregon Mầm n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14876" w:rsidRPr="00E14876">
        <w:rPr>
          <w:noProof/>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02"/>
        <w:gridCol w:w="1103"/>
        <w:gridCol w:w="1102"/>
        <w:gridCol w:w="1103"/>
        <w:gridCol w:w="1102"/>
        <w:gridCol w:w="1103"/>
        <w:gridCol w:w="1102"/>
        <w:gridCol w:w="1103"/>
      </w:tblGrid>
      <w:tr w:rsidR="00E14876" w:rsidRPr="00C63CE5" w14:paraId="1A605C73" w14:textId="77777777" w:rsidTr="0EFEDBEB">
        <w:trPr>
          <w:trHeight w:val="53"/>
        </w:trPr>
        <w:tc>
          <w:tcPr>
            <w:tcW w:w="1255" w:type="dxa"/>
            <w:shd w:val="clear" w:color="auto" w:fill="1E8BCD"/>
            <w:vAlign w:val="center"/>
          </w:tcPr>
          <w:p w14:paraId="2F0A0DD0" w14:textId="6E255E7A" w:rsidR="00E14876" w:rsidRPr="00C63CE5" w:rsidRDefault="00DF018D" w:rsidP="00D41862">
            <w:pPr>
              <w:spacing w:before="60" w:after="60" w:line="240" w:lineRule="auto"/>
              <w:jc w:val="center"/>
              <w:rPr>
                <w:rFonts w:cstheme="minorHAnsi"/>
              </w:rPr>
            </w:pPr>
            <w:r>
              <w:rPr>
                <w:rFonts w:eastAsia="Arial" w:cstheme="minorHAnsi"/>
                <w:b/>
                <w:bCs/>
                <w:color w:val="000000" w:themeColor="text1"/>
              </w:rPr>
              <w:t>Nhóm</w:t>
            </w:r>
          </w:p>
        </w:tc>
        <w:tc>
          <w:tcPr>
            <w:tcW w:w="1102" w:type="dxa"/>
            <w:shd w:val="clear" w:color="auto" w:fill="1E8BCD"/>
            <w:vAlign w:val="center"/>
          </w:tcPr>
          <w:p w14:paraId="2FC0C1D9" w14:textId="7A845328" w:rsidR="00E14876" w:rsidRPr="00C63CE5" w:rsidRDefault="008B2F86" w:rsidP="00D41862">
            <w:pPr>
              <w:spacing w:before="60" w:after="60" w:line="240" w:lineRule="auto"/>
              <w:jc w:val="center"/>
              <w:rPr>
                <w:rFonts w:cstheme="minorHAnsi"/>
              </w:rPr>
            </w:pPr>
            <w:r>
              <w:rPr>
                <w:rFonts w:eastAsia="Arial" w:cstheme="minorHAnsi"/>
                <w:b/>
                <w:bCs/>
                <w:color w:val="000000" w:themeColor="text1"/>
              </w:rPr>
              <w:t>Căn bản</w:t>
            </w:r>
          </w:p>
        </w:tc>
        <w:tc>
          <w:tcPr>
            <w:tcW w:w="1103" w:type="dxa"/>
            <w:shd w:val="clear" w:color="auto" w:fill="1E8BCD"/>
            <w:vAlign w:val="center"/>
          </w:tcPr>
          <w:p w14:paraId="10D98125"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FFY</w:t>
            </w:r>
          </w:p>
        </w:tc>
        <w:tc>
          <w:tcPr>
            <w:tcW w:w="1102" w:type="dxa"/>
            <w:shd w:val="clear" w:color="auto" w:fill="1E8BCD"/>
            <w:vAlign w:val="center"/>
          </w:tcPr>
          <w:p w14:paraId="033C1DB8"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2014</w:t>
            </w:r>
          </w:p>
        </w:tc>
        <w:tc>
          <w:tcPr>
            <w:tcW w:w="1103" w:type="dxa"/>
            <w:shd w:val="clear" w:color="auto" w:fill="1E8BCD"/>
            <w:vAlign w:val="center"/>
          </w:tcPr>
          <w:p w14:paraId="344CD4F1"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2015</w:t>
            </w:r>
          </w:p>
        </w:tc>
        <w:tc>
          <w:tcPr>
            <w:tcW w:w="1102" w:type="dxa"/>
            <w:shd w:val="clear" w:color="auto" w:fill="1E8BCD"/>
            <w:vAlign w:val="center"/>
          </w:tcPr>
          <w:p w14:paraId="0291E4C5"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2016</w:t>
            </w:r>
          </w:p>
        </w:tc>
        <w:tc>
          <w:tcPr>
            <w:tcW w:w="1103" w:type="dxa"/>
            <w:shd w:val="clear" w:color="auto" w:fill="1E8BCD"/>
            <w:vAlign w:val="center"/>
          </w:tcPr>
          <w:p w14:paraId="3201FB0F"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2017</w:t>
            </w:r>
          </w:p>
        </w:tc>
        <w:tc>
          <w:tcPr>
            <w:tcW w:w="1102" w:type="dxa"/>
            <w:shd w:val="clear" w:color="auto" w:fill="1E8BCD"/>
            <w:vAlign w:val="center"/>
          </w:tcPr>
          <w:p w14:paraId="11094FB6"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2018</w:t>
            </w:r>
          </w:p>
        </w:tc>
        <w:tc>
          <w:tcPr>
            <w:tcW w:w="1103" w:type="dxa"/>
            <w:shd w:val="clear" w:color="auto" w:fill="1E8BCD"/>
            <w:vAlign w:val="center"/>
          </w:tcPr>
          <w:p w14:paraId="2D43BAC1" w14:textId="77777777" w:rsidR="00E14876" w:rsidRPr="00C63CE5" w:rsidRDefault="00E14876" w:rsidP="00D41862">
            <w:pPr>
              <w:spacing w:before="60" w:after="60" w:line="240" w:lineRule="auto"/>
              <w:jc w:val="center"/>
              <w:rPr>
                <w:rFonts w:eastAsia="Arial" w:cstheme="minorHAnsi"/>
                <w:b/>
                <w:bCs/>
                <w:color w:val="000000" w:themeColor="text1"/>
              </w:rPr>
            </w:pPr>
            <w:r w:rsidRPr="00C63CE5">
              <w:rPr>
                <w:rFonts w:eastAsia="Arial" w:cstheme="minorHAnsi"/>
                <w:b/>
                <w:bCs/>
                <w:color w:val="000000" w:themeColor="text1"/>
              </w:rPr>
              <w:t>2019</w:t>
            </w:r>
          </w:p>
        </w:tc>
      </w:tr>
      <w:tr w:rsidR="00E14876" w:rsidRPr="00C63CE5" w14:paraId="419C8348" w14:textId="77777777" w:rsidTr="0EFEDBEB">
        <w:trPr>
          <w:trHeight w:val="53"/>
        </w:trPr>
        <w:tc>
          <w:tcPr>
            <w:tcW w:w="1255" w:type="dxa"/>
            <w:vAlign w:val="center"/>
          </w:tcPr>
          <w:p w14:paraId="7DC7758D" w14:textId="7697A128" w:rsidR="00E14876" w:rsidRPr="00C63CE5" w:rsidRDefault="00DF018D" w:rsidP="00D41862">
            <w:pPr>
              <w:spacing w:before="60" w:after="60" w:line="240" w:lineRule="auto"/>
              <w:jc w:val="center"/>
              <w:rPr>
                <w:rFonts w:cstheme="minorHAnsi"/>
              </w:rPr>
            </w:pPr>
            <w:r>
              <w:rPr>
                <w:rFonts w:eastAsia="Arial" w:cstheme="minorHAnsi"/>
                <w:color w:val="000000" w:themeColor="text1"/>
              </w:rPr>
              <w:t>Mầm non</w:t>
            </w:r>
          </w:p>
        </w:tc>
        <w:tc>
          <w:tcPr>
            <w:tcW w:w="1102" w:type="dxa"/>
            <w:vAlign w:val="center"/>
          </w:tcPr>
          <w:p w14:paraId="67F590E4"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2014</w:t>
            </w:r>
          </w:p>
        </w:tc>
        <w:tc>
          <w:tcPr>
            <w:tcW w:w="1103" w:type="dxa"/>
            <w:vAlign w:val="center"/>
          </w:tcPr>
          <w:p w14:paraId="52C45F9B"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rPr>
              <w:t>Target ≥</w:t>
            </w:r>
          </w:p>
        </w:tc>
        <w:tc>
          <w:tcPr>
            <w:tcW w:w="1102" w:type="dxa"/>
            <w:vAlign w:val="center"/>
          </w:tcPr>
          <w:p w14:paraId="5294A2E9"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82.18%</w:t>
            </w:r>
          </w:p>
        </w:tc>
        <w:tc>
          <w:tcPr>
            <w:tcW w:w="1103" w:type="dxa"/>
            <w:vAlign w:val="center"/>
          </w:tcPr>
          <w:p w14:paraId="2B3AAA2D"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82.48%</w:t>
            </w:r>
          </w:p>
        </w:tc>
        <w:tc>
          <w:tcPr>
            <w:tcW w:w="1102" w:type="dxa"/>
            <w:vAlign w:val="center"/>
          </w:tcPr>
          <w:p w14:paraId="049F388C"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82.68%</w:t>
            </w:r>
          </w:p>
        </w:tc>
        <w:tc>
          <w:tcPr>
            <w:tcW w:w="1103" w:type="dxa"/>
            <w:vAlign w:val="center"/>
          </w:tcPr>
          <w:p w14:paraId="6B490F2D"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83.68%</w:t>
            </w:r>
          </w:p>
        </w:tc>
        <w:tc>
          <w:tcPr>
            <w:tcW w:w="1102" w:type="dxa"/>
            <w:vAlign w:val="center"/>
          </w:tcPr>
          <w:p w14:paraId="6CD813A7"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85.68%</w:t>
            </w:r>
          </w:p>
        </w:tc>
        <w:tc>
          <w:tcPr>
            <w:tcW w:w="1103" w:type="dxa"/>
            <w:vAlign w:val="center"/>
          </w:tcPr>
          <w:p w14:paraId="3876D37F" w14:textId="77777777" w:rsidR="00E14876" w:rsidRPr="00C63CE5" w:rsidRDefault="00E14876" w:rsidP="00D41862">
            <w:pPr>
              <w:spacing w:before="60" w:after="60" w:line="240" w:lineRule="auto"/>
              <w:jc w:val="center"/>
              <w:rPr>
                <w:rFonts w:eastAsia="Arial" w:cstheme="minorHAnsi"/>
                <w:color w:val="000000" w:themeColor="text1"/>
              </w:rPr>
            </w:pPr>
            <w:r w:rsidRPr="00C63CE5">
              <w:rPr>
                <w:rFonts w:eastAsia="Arial" w:cstheme="minorHAnsi"/>
                <w:color w:val="000000" w:themeColor="text1"/>
              </w:rPr>
              <w:t>85.68%</w:t>
            </w:r>
          </w:p>
        </w:tc>
      </w:tr>
      <w:tr w:rsidR="00E14876" w:rsidRPr="00C63CE5" w14:paraId="430E5B0F" w14:textId="77777777" w:rsidTr="0EFEDBEB">
        <w:trPr>
          <w:trHeight w:val="98"/>
        </w:trPr>
        <w:tc>
          <w:tcPr>
            <w:tcW w:w="1255" w:type="dxa"/>
            <w:vAlign w:val="center"/>
          </w:tcPr>
          <w:p w14:paraId="2C653A53" w14:textId="67DB11E3" w:rsidR="00E14876" w:rsidRPr="00C63CE5" w:rsidRDefault="00DF018D" w:rsidP="00D41862">
            <w:pPr>
              <w:spacing w:before="60" w:after="60" w:line="240" w:lineRule="auto"/>
              <w:jc w:val="center"/>
              <w:rPr>
                <w:rFonts w:cstheme="minorHAnsi"/>
              </w:rPr>
            </w:pPr>
            <w:r>
              <w:rPr>
                <w:rFonts w:eastAsia="Arial" w:cstheme="minorHAnsi"/>
                <w:color w:val="000000" w:themeColor="text1"/>
              </w:rPr>
              <w:t>Mầm non</w:t>
            </w:r>
          </w:p>
        </w:tc>
        <w:tc>
          <w:tcPr>
            <w:tcW w:w="1102" w:type="dxa"/>
            <w:vAlign w:val="center"/>
          </w:tcPr>
          <w:p w14:paraId="427B3B79"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82.18%</w:t>
            </w:r>
          </w:p>
        </w:tc>
        <w:tc>
          <w:tcPr>
            <w:tcW w:w="1103" w:type="dxa"/>
            <w:vAlign w:val="center"/>
          </w:tcPr>
          <w:p w14:paraId="0CA56913"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Data</w:t>
            </w:r>
          </w:p>
        </w:tc>
        <w:tc>
          <w:tcPr>
            <w:tcW w:w="1102" w:type="dxa"/>
            <w:vAlign w:val="center"/>
          </w:tcPr>
          <w:p w14:paraId="40BCC8C2"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82.18%</w:t>
            </w:r>
          </w:p>
        </w:tc>
        <w:tc>
          <w:tcPr>
            <w:tcW w:w="1103" w:type="dxa"/>
            <w:vAlign w:val="center"/>
          </w:tcPr>
          <w:p w14:paraId="256E7F90"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81.16%</w:t>
            </w:r>
          </w:p>
        </w:tc>
        <w:tc>
          <w:tcPr>
            <w:tcW w:w="1102" w:type="dxa"/>
            <w:vAlign w:val="center"/>
          </w:tcPr>
          <w:p w14:paraId="1B207CEC"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86.23%</w:t>
            </w:r>
          </w:p>
        </w:tc>
        <w:tc>
          <w:tcPr>
            <w:tcW w:w="1103" w:type="dxa"/>
            <w:vAlign w:val="center"/>
          </w:tcPr>
          <w:p w14:paraId="486539C2"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79.37%</w:t>
            </w:r>
          </w:p>
        </w:tc>
        <w:tc>
          <w:tcPr>
            <w:tcW w:w="1102" w:type="dxa"/>
            <w:vAlign w:val="center"/>
          </w:tcPr>
          <w:p w14:paraId="6E65A103"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84.59%</w:t>
            </w:r>
          </w:p>
        </w:tc>
        <w:tc>
          <w:tcPr>
            <w:tcW w:w="1103" w:type="dxa"/>
            <w:vAlign w:val="center"/>
          </w:tcPr>
          <w:p w14:paraId="4BDEF29D" w14:textId="34525585" w:rsidR="00E14876" w:rsidRPr="00C63CE5" w:rsidRDefault="00E14876" w:rsidP="0EFEDBEB">
            <w:pPr>
              <w:spacing w:before="60" w:after="60" w:line="240" w:lineRule="auto"/>
              <w:jc w:val="center"/>
              <w:rPr>
                <w:rFonts w:eastAsia="Arial"/>
                <w:color w:val="000000" w:themeColor="text1"/>
              </w:rPr>
            </w:pPr>
            <w:r w:rsidRPr="0EFEDBEB">
              <w:rPr>
                <w:rFonts w:eastAsia="Arial"/>
                <w:color w:val="000000" w:themeColor="text1"/>
              </w:rPr>
              <w:t>88.</w:t>
            </w:r>
            <w:r w:rsidR="5248B67F" w:rsidRPr="0EFEDBEB">
              <w:rPr>
                <w:rFonts w:eastAsia="Arial"/>
                <w:color w:val="000000" w:themeColor="text1"/>
              </w:rPr>
              <w:t>9</w:t>
            </w:r>
            <w:r w:rsidRPr="0EFEDBEB">
              <w:rPr>
                <w:rFonts w:eastAsia="Arial"/>
                <w:color w:val="000000" w:themeColor="text1"/>
              </w:rPr>
              <w:t>9%</w:t>
            </w:r>
          </w:p>
        </w:tc>
      </w:tr>
    </w:tbl>
    <w:p w14:paraId="7BFD2671" w14:textId="1990E333" w:rsidR="00536341" w:rsidRDefault="00E14876" w:rsidP="00E14876">
      <w:pPr>
        <w:spacing w:before="120"/>
      </w:pPr>
      <w:r>
        <w:rPr>
          <w:noProof/>
        </w:rPr>
        <w:drawing>
          <wp:inline distT="0" distB="0" distL="0" distR="0" wp14:anchorId="1CB5425D" wp14:editId="31C4F940">
            <wp:extent cx="6400800" cy="2743200"/>
            <wp:effectExtent l="0" t="0" r="0" b="0"/>
            <wp:docPr id="2" name="Chart 2" title="Dữ liệu Chỉ số B8 (Sự tham gia của Phụ huynh) của Oregon Tuổi đến trườ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084"/>
        <w:gridCol w:w="1085"/>
        <w:gridCol w:w="1084"/>
        <w:gridCol w:w="1085"/>
        <w:gridCol w:w="1084"/>
        <w:gridCol w:w="1085"/>
        <w:gridCol w:w="1084"/>
        <w:gridCol w:w="1085"/>
      </w:tblGrid>
      <w:tr w:rsidR="3272F914" w:rsidRPr="00C63CE5" w14:paraId="36D80071" w14:textId="77777777" w:rsidTr="0EFEDBEB">
        <w:trPr>
          <w:trHeight w:val="53"/>
        </w:trPr>
        <w:tc>
          <w:tcPr>
            <w:tcW w:w="1255" w:type="dxa"/>
            <w:shd w:val="clear" w:color="auto" w:fill="1E8BCD"/>
            <w:vAlign w:val="center"/>
          </w:tcPr>
          <w:p w14:paraId="5AA2DEF0" w14:textId="5C9E8DC1" w:rsidR="3272F914" w:rsidRPr="00C63CE5" w:rsidRDefault="00DF018D" w:rsidP="00BA0EA6">
            <w:pPr>
              <w:spacing w:before="60" w:after="60" w:line="240" w:lineRule="auto"/>
              <w:jc w:val="center"/>
              <w:rPr>
                <w:rFonts w:cstheme="minorHAnsi"/>
              </w:rPr>
            </w:pPr>
            <w:r>
              <w:rPr>
                <w:rFonts w:eastAsia="Arial" w:cstheme="minorHAnsi"/>
                <w:b/>
                <w:bCs/>
                <w:color w:val="000000" w:themeColor="text1"/>
              </w:rPr>
              <w:t>Nhóm</w:t>
            </w:r>
          </w:p>
        </w:tc>
        <w:tc>
          <w:tcPr>
            <w:tcW w:w="1084" w:type="dxa"/>
            <w:shd w:val="clear" w:color="auto" w:fill="1E8BCD"/>
            <w:vAlign w:val="center"/>
          </w:tcPr>
          <w:p w14:paraId="3A767410" w14:textId="129C12DF" w:rsidR="3272F914" w:rsidRPr="00C63CE5" w:rsidRDefault="008B2F86" w:rsidP="00BA0EA6">
            <w:pPr>
              <w:spacing w:before="60" w:after="60" w:line="240" w:lineRule="auto"/>
              <w:jc w:val="center"/>
              <w:rPr>
                <w:rFonts w:cstheme="minorHAnsi"/>
              </w:rPr>
            </w:pPr>
            <w:r>
              <w:rPr>
                <w:rFonts w:eastAsia="Arial" w:cstheme="minorHAnsi"/>
                <w:b/>
                <w:bCs/>
                <w:color w:val="000000" w:themeColor="text1"/>
              </w:rPr>
              <w:t>Căn bản</w:t>
            </w:r>
          </w:p>
        </w:tc>
        <w:tc>
          <w:tcPr>
            <w:tcW w:w="1085" w:type="dxa"/>
            <w:shd w:val="clear" w:color="auto" w:fill="1E8BCD"/>
            <w:vAlign w:val="center"/>
          </w:tcPr>
          <w:p w14:paraId="4B843047" w14:textId="2244E77A"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FFY</w:t>
            </w:r>
          </w:p>
        </w:tc>
        <w:tc>
          <w:tcPr>
            <w:tcW w:w="1084" w:type="dxa"/>
            <w:shd w:val="clear" w:color="auto" w:fill="1E8BCD"/>
            <w:vAlign w:val="center"/>
          </w:tcPr>
          <w:p w14:paraId="092D92A2" w14:textId="2EC872AB"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2014</w:t>
            </w:r>
          </w:p>
        </w:tc>
        <w:tc>
          <w:tcPr>
            <w:tcW w:w="1085" w:type="dxa"/>
            <w:shd w:val="clear" w:color="auto" w:fill="1E8BCD"/>
            <w:vAlign w:val="center"/>
          </w:tcPr>
          <w:p w14:paraId="1171E315" w14:textId="1AC448E1"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2015</w:t>
            </w:r>
          </w:p>
        </w:tc>
        <w:tc>
          <w:tcPr>
            <w:tcW w:w="1084" w:type="dxa"/>
            <w:shd w:val="clear" w:color="auto" w:fill="1E8BCD"/>
            <w:vAlign w:val="center"/>
          </w:tcPr>
          <w:p w14:paraId="10074E9A" w14:textId="0BE4B738"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2016</w:t>
            </w:r>
          </w:p>
        </w:tc>
        <w:tc>
          <w:tcPr>
            <w:tcW w:w="1085" w:type="dxa"/>
            <w:shd w:val="clear" w:color="auto" w:fill="1E8BCD"/>
            <w:vAlign w:val="center"/>
          </w:tcPr>
          <w:p w14:paraId="00264745" w14:textId="7C26FF74"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2017</w:t>
            </w:r>
          </w:p>
        </w:tc>
        <w:tc>
          <w:tcPr>
            <w:tcW w:w="1084" w:type="dxa"/>
            <w:shd w:val="clear" w:color="auto" w:fill="1E8BCD"/>
            <w:vAlign w:val="center"/>
          </w:tcPr>
          <w:p w14:paraId="5BC4FB39" w14:textId="53911085"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2018</w:t>
            </w:r>
          </w:p>
        </w:tc>
        <w:tc>
          <w:tcPr>
            <w:tcW w:w="1085" w:type="dxa"/>
            <w:shd w:val="clear" w:color="auto" w:fill="1E8BCD"/>
            <w:vAlign w:val="center"/>
          </w:tcPr>
          <w:p w14:paraId="2AB527DF" w14:textId="67D8A9BD" w:rsidR="41DAB5CE" w:rsidRPr="00C63CE5" w:rsidRDefault="3B4E0939" w:rsidP="00BA0EA6">
            <w:pPr>
              <w:spacing w:before="60" w:after="60" w:line="240" w:lineRule="auto"/>
              <w:jc w:val="center"/>
              <w:rPr>
                <w:rFonts w:eastAsia="Arial" w:cstheme="minorHAnsi"/>
                <w:b/>
                <w:bCs/>
                <w:color w:val="000000" w:themeColor="text1"/>
              </w:rPr>
            </w:pPr>
            <w:r w:rsidRPr="00C63CE5">
              <w:rPr>
                <w:rFonts w:eastAsia="Arial" w:cstheme="minorHAnsi"/>
                <w:b/>
                <w:bCs/>
                <w:color w:val="000000" w:themeColor="text1"/>
              </w:rPr>
              <w:t>2019</w:t>
            </w:r>
          </w:p>
        </w:tc>
      </w:tr>
      <w:tr w:rsidR="3272F914" w:rsidRPr="00C63CE5" w14:paraId="4B5CAAC7" w14:textId="77777777" w:rsidTr="0EFEDBEB">
        <w:trPr>
          <w:trHeight w:val="53"/>
        </w:trPr>
        <w:tc>
          <w:tcPr>
            <w:tcW w:w="1255" w:type="dxa"/>
            <w:vAlign w:val="center"/>
          </w:tcPr>
          <w:p w14:paraId="32103E38" w14:textId="6357188E" w:rsidR="3272F914" w:rsidRPr="00C63CE5" w:rsidRDefault="00DF018D" w:rsidP="00BA0EA6">
            <w:pPr>
              <w:spacing w:before="60" w:after="60" w:line="240" w:lineRule="auto"/>
              <w:jc w:val="center"/>
              <w:rPr>
                <w:rFonts w:cstheme="minorHAnsi"/>
              </w:rPr>
            </w:pPr>
            <w:r>
              <w:rPr>
                <w:rFonts w:cstheme="minorHAnsi"/>
              </w:rPr>
              <w:t>Tuổi đến trường</w:t>
            </w:r>
          </w:p>
        </w:tc>
        <w:tc>
          <w:tcPr>
            <w:tcW w:w="1084" w:type="dxa"/>
            <w:vAlign w:val="center"/>
          </w:tcPr>
          <w:p w14:paraId="5816BD9C" w14:textId="0C1FDFB5"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2014</w:t>
            </w:r>
          </w:p>
        </w:tc>
        <w:tc>
          <w:tcPr>
            <w:tcW w:w="1085" w:type="dxa"/>
            <w:vAlign w:val="center"/>
          </w:tcPr>
          <w:p w14:paraId="3CD7EE22" w14:textId="4D663466" w:rsidR="3272F914" w:rsidRPr="00C63CE5" w:rsidRDefault="00AC06C8" w:rsidP="00BA0EA6">
            <w:pPr>
              <w:spacing w:before="60" w:after="60" w:line="240" w:lineRule="auto"/>
              <w:jc w:val="center"/>
              <w:rPr>
                <w:rFonts w:cstheme="minorHAnsi"/>
              </w:rPr>
            </w:pPr>
            <w:r>
              <w:rPr>
                <w:rFonts w:eastAsia="Arial" w:cstheme="minorHAnsi"/>
                <w:color w:val="000000" w:themeColor="text1"/>
              </w:rPr>
              <w:t>Target ≥</w:t>
            </w:r>
          </w:p>
        </w:tc>
        <w:tc>
          <w:tcPr>
            <w:tcW w:w="1084" w:type="dxa"/>
            <w:vAlign w:val="center"/>
          </w:tcPr>
          <w:p w14:paraId="0D7DA1BB" w14:textId="34A9CF6E"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76.23%</w:t>
            </w:r>
          </w:p>
        </w:tc>
        <w:tc>
          <w:tcPr>
            <w:tcW w:w="1085" w:type="dxa"/>
            <w:vAlign w:val="center"/>
          </w:tcPr>
          <w:p w14:paraId="7E61F8FB" w14:textId="29E95120"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76.73%</w:t>
            </w:r>
          </w:p>
        </w:tc>
        <w:tc>
          <w:tcPr>
            <w:tcW w:w="1084" w:type="dxa"/>
            <w:vAlign w:val="center"/>
          </w:tcPr>
          <w:p w14:paraId="0B7D34CD" w14:textId="586C78AE"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77.73%</w:t>
            </w:r>
          </w:p>
        </w:tc>
        <w:tc>
          <w:tcPr>
            <w:tcW w:w="1085" w:type="dxa"/>
            <w:vAlign w:val="center"/>
          </w:tcPr>
          <w:p w14:paraId="19CC2830" w14:textId="0439BDE8"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78.73%</w:t>
            </w:r>
          </w:p>
        </w:tc>
        <w:tc>
          <w:tcPr>
            <w:tcW w:w="1084" w:type="dxa"/>
            <w:vAlign w:val="center"/>
          </w:tcPr>
          <w:p w14:paraId="235D6199" w14:textId="3F8E2BF0"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81.23%</w:t>
            </w:r>
          </w:p>
        </w:tc>
        <w:tc>
          <w:tcPr>
            <w:tcW w:w="1085" w:type="dxa"/>
            <w:vAlign w:val="center"/>
          </w:tcPr>
          <w:p w14:paraId="508DC83E" w14:textId="197B856E" w:rsidR="4EF34651" w:rsidRPr="00C63CE5" w:rsidRDefault="5EF4CF3D" w:rsidP="00BA0EA6">
            <w:pPr>
              <w:spacing w:before="60" w:after="60" w:line="240" w:lineRule="auto"/>
              <w:jc w:val="center"/>
              <w:rPr>
                <w:rFonts w:eastAsia="Arial" w:cstheme="minorHAnsi"/>
                <w:color w:val="000000" w:themeColor="text1"/>
              </w:rPr>
            </w:pPr>
            <w:r w:rsidRPr="00C63CE5">
              <w:rPr>
                <w:rFonts w:eastAsia="Arial" w:cstheme="minorHAnsi"/>
                <w:color w:val="000000" w:themeColor="text1"/>
              </w:rPr>
              <w:t>81.23%</w:t>
            </w:r>
          </w:p>
        </w:tc>
      </w:tr>
      <w:tr w:rsidR="3272F914" w:rsidRPr="00C63CE5" w14:paraId="08760D51" w14:textId="77777777" w:rsidTr="0EFEDBEB">
        <w:trPr>
          <w:trHeight w:val="53"/>
        </w:trPr>
        <w:tc>
          <w:tcPr>
            <w:tcW w:w="1255" w:type="dxa"/>
            <w:vAlign w:val="center"/>
          </w:tcPr>
          <w:p w14:paraId="6C2B5215" w14:textId="1D26DDF5" w:rsidR="3272F914" w:rsidRPr="00C63CE5" w:rsidRDefault="00DF018D" w:rsidP="00BA0EA6">
            <w:pPr>
              <w:spacing w:before="60" w:after="60" w:line="240" w:lineRule="auto"/>
              <w:jc w:val="center"/>
              <w:rPr>
                <w:rFonts w:cstheme="minorHAnsi"/>
              </w:rPr>
            </w:pPr>
            <w:r>
              <w:rPr>
                <w:rFonts w:cstheme="minorHAnsi"/>
              </w:rPr>
              <w:t>Tuổi đến trường</w:t>
            </w:r>
          </w:p>
        </w:tc>
        <w:tc>
          <w:tcPr>
            <w:tcW w:w="1084" w:type="dxa"/>
            <w:vAlign w:val="center"/>
          </w:tcPr>
          <w:p w14:paraId="19D3C89D" w14:textId="367A9E19"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76.23%</w:t>
            </w:r>
          </w:p>
        </w:tc>
        <w:tc>
          <w:tcPr>
            <w:tcW w:w="1085" w:type="dxa"/>
            <w:vAlign w:val="center"/>
          </w:tcPr>
          <w:p w14:paraId="43A5B3C2" w14:textId="064EA2B9"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Data</w:t>
            </w:r>
          </w:p>
        </w:tc>
        <w:tc>
          <w:tcPr>
            <w:tcW w:w="1084" w:type="dxa"/>
            <w:vAlign w:val="center"/>
          </w:tcPr>
          <w:p w14:paraId="7BCB4155" w14:textId="46BAE511"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76.23%</w:t>
            </w:r>
          </w:p>
        </w:tc>
        <w:tc>
          <w:tcPr>
            <w:tcW w:w="1085" w:type="dxa"/>
            <w:vAlign w:val="center"/>
          </w:tcPr>
          <w:p w14:paraId="20086AC6" w14:textId="718D8447"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78.12%</w:t>
            </w:r>
          </w:p>
        </w:tc>
        <w:tc>
          <w:tcPr>
            <w:tcW w:w="1084" w:type="dxa"/>
            <w:vAlign w:val="center"/>
          </w:tcPr>
          <w:p w14:paraId="1C7D96DB" w14:textId="6B80CB6C"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78.74%</w:t>
            </w:r>
          </w:p>
        </w:tc>
        <w:tc>
          <w:tcPr>
            <w:tcW w:w="1085" w:type="dxa"/>
            <w:vAlign w:val="center"/>
          </w:tcPr>
          <w:p w14:paraId="0869C48C" w14:textId="11F727D5"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79.43%</w:t>
            </w:r>
          </w:p>
        </w:tc>
        <w:tc>
          <w:tcPr>
            <w:tcW w:w="1084" w:type="dxa"/>
            <w:vAlign w:val="center"/>
          </w:tcPr>
          <w:p w14:paraId="783B3A82" w14:textId="028FF5E8"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78.98%</w:t>
            </w:r>
          </w:p>
        </w:tc>
        <w:tc>
          <w:tcPr>
            <w:tcW w:w="1085" w:type="dxa"/>
            <w:vAlign w:val="center"/>
          </w:tcPr>
          <w:p w14:paraId="1C7ADEAF" w14:textId="6F358F96" w:rsidR="4EF34651" w:rsidRPr="00C63CE5" w:rsidRDefault="1E12FAA8" w:rsidP="0EFEDBEB">
            <w:pPr>
              <w:spacing w:before="60" w:after="60" w:line="240" w:lineRule="auto"/>
              <w:jc w:val="center"/>
              <w:rPr>
                <w:rFonts w:eastAsia="Arial"/>
                <w:color w:val="000000" w:themeColor="text1"/>
              </w:rPr>
            </w:pPr>
            <w:r w:rsidRPr="0EFEDBEB">
              <w:rPr>
                <w:rFonts w:eastAsia="Arial"/>
                <w:color w:val="000000" w:themeColor="text1"/>
              </w:rPr>
              <w:t>83.5</w:t>
            </w:r>
            <w:r w:rsidR="331CD1C5" w:rsidRPr="0EFEDBEB">
              <w:rPr>
                <w:rFonts w:eastAsia="Arial"/>
                <w:color w:val="000000" w:themeColor="text1"/>
              </w:rPr>
              <w:t>6</w:t>
            </w:r>
            <w:r w:rsidRPr="0EFEDBEB">
              <w:rPr>
                <w:rFonts w:eastAsia="Arial"/>
                <w:color w:val="000000" w:themeColor="text1"/>
              </w:rPr>
              <w:t>%</w:t>
            </w:r>
          </w:p>
        </w:tc>
      </w:tr>
    </w:tbl>
    <w:p w14:paraId="2CE474B4" w14:textId="77777777" w:rsidR="00CA1A38" w:rsidRDefault="00CA1A38" w:rsidP="00536341">
      <w:pPr>
        <w:spacing w:before="240" w:line="240" w:lineRule="auto"/>
        <w:rPr>
          <w:rFonts w:ascii="Calibri" w:eastAsia="Calibri" w:hAnsi="Calibri" w:cs="Calibri"/>
          <w:b/>
          <w:bCs/>
          <w:color w:val="1B75BC"/>
          <w:sz w:val="32"/>
          <w:szCs w:val="32"/>
        </w:rPr>
      </w:pPr>
    </w:p>
    <w:p w14:paraId="3C74FF81" w14:textId="1505313E" w:rsidR="28899E29" w:rsidRPr="00CA1A38" w:rsidRDefault="00CA1A38" w:rsidP="000E1261">
      <w:pPr>
        <w:spacing w:before="240" w:after="0" w:line="240" w:lineRule="auto"/>
        <w:rPr>
          <w:rFonts w:ascii="Calibri" w:eastAsia="Calibri" w:hAnsi="Calibri" w:cs="Calibri"/>
          <w:color w:val="1B75BC"/>
          <w:sz w:val="32"/>
          <w:szCs w:val="32"/>
        </w:rPr>
      </w:pPr>
      <w:r>
        <w:rPr>
          <w:rFonts w:ascii="Calibri" w:eastAsia="Calibri" w:hAnsi="Calibri" w:cs="Calibri"/>
          <w:b/>
          <w:bCs/>
          <w:color w:val="1B75BC"/>
          <w:sz w:val="32"/>
          <w:szCs w:val="32"/>
        </w:rPr>
        <w:br w:type="page"/>
      </w:r>
      <w:r w:rsidR="000E1261">
        <w:rPr>
          <w:rFonts w:ascii="Calibri" w:eastAsia="Calibri" w:hAnsi="Calibri" w:cs="Calibri"/>
          <w:b/>
          <w:bCs/>
          <w:color w:val="1B75BC"/>
          <w:sz w:val="32"/>
          <w:szCs w:val="32"/>
        </w:rPr>
        <w:lastRenderedPageBreak/>
        <w:t xml:space="preserve"> </w:t>
      </w:r>
      <w:r w:rsidR="000E1261" w:rsidRPr="00396AD0">
        <w:rPr>
          <w:rFonts w:ascii="Calibri" w:eastAsia="Calibri" w:hAnsi="Calibri" w:cs="Calibri"/>
          <w:b/>
          <w:bCs/>
          <w:color w:val="1B75BC"/>
          <w:sz w:val="32"/>
          <w:szCs w:val="32"/>
        </w:rPr>
        <w:t>Các mục tiêu mới là gì?</w:t>
      </w:r>
    </w:p>
    <w:p w14:paraId="216DAE9B" w14:textId="5832F998" w:rsidR="00EB1006" w:rsidRPr="00780D5E" w:rsidRDefault="00EB1006" w:rsidP="00780D5E">
      <w:pPr>
        <w:spacing w:after="0" w:line="240" w:lineRule="auto"/>
        <w:rPr>
          <w:rFonts w:ascii="Calibri" w:eastAsia="Calibri" w:hAnsi="Calibri" w:cs="Calibri"/>
          <w:color w:val="000000" w:themeColor="text1"/>
        </w:rPr>
      </w:pPr>
      <w:r w:rsidRPr="00396AD0">
        <w:rPr>
          <w:rFonts w:ascii="Calibri" w:eastAsia="Calibri" w:hAnsi="Calibri" w:cs="Calibri"/>
          <w:color w:val="000000" w:themeColor="text1"/>
        </w:rPr>
        <w:t>ODE sẽ không đặt ra các mục tiêu mới cho đến khi chúng tôi nhận được phản hồi từ các đối tác của mình. Có một số cách để đặt mục tiêu mới. Đó có thể là tỷ lệ phần trăm tăng, bắt đầu với trò chơi kết thúc hoặc kiểm tra xu hướng theo thời gian và đưa ra dự đoán dựa trên xu hướng. Một số thông tin hữu ích về việc đặt mục tiêu:</w:t>
      </w:r>
    </w:p>
    <w:p w14:paraId="65729488" w14:textId="445B60DA" w:rsidR="00EB1006" w:rsidRPr="00EB1006" w:rsidRDefault="00EB1006" w:rsidP="00EB1006">
      <w:pPr>
        <w:pStyle w:val="ListParagraph"/>
        <w:numPr>
          <w:ilvl w:val="0"/>
          <w:numId w:val="1"/>
        </w:numPr>
        <w:spacing w:line="240" w:lineRule="auto"/>
        <w:rPr>
          <w:rFonts w:eastAsiaTheme="minorEastAsia"/>
          <w:color w:val="000000" w:themeColor="text1"/>
        </w:rPr>
      </w:pPr>
      <w:r w:rsidRPr="009479A9">
        <w:rPr>
          <w:rFonts w:ascii="Calibri" w:eastAsia="Calibri" w:hAnsi="Calibri" w:cs="Calibri"/>
          <w:color w:val="000000" w:themeColor="text1"/>
        </w:rPr>
        <w:t xml:space="preserve">Các mục tiêu nhằm hỗ trợ cải thiện kết quả và </w:t>
      </w:r>
      <w:r>
        <w:rPr>
          <w:rFonts w:ascii="Calibri" w:eastAsia="Calibri" w:hAnsi="Calibri" w:cs="Calibri"/>
          <w:color w:val="000000" w:themeColor="text1"/>
        </w:rPr>
        <w:t>thành tích</w:t>
      </w:r>
      <w:r w:rsidRPr="009479A9">
        <w:rPr>
          <w:rFonts w:ascii="Calibri" w:eastAsia="Calibri" w:hAnsi="Calibri" w:cs="Calibri"/>
          <w:color w:val="000000" w:themeColor="text1"/>
        </w:rPr>
        <w:t xml:space="preserve"> cho trẻ em và gia đình. Chúng phải </w:t>
      </w:r>
      <w:r>
        <w:rPr>
          <w:rFonts w:ascii="Calibri" w:eastAsia="Calibri" w:hAnsi="Calibri" w:cs="Calibri"/>
          <w:color w:val="000000" w:themeColor="text1"/>
        </w:rPr>
        <w:t xml:space="preserve">nằm </w:t>
      </w:r>
      <w:r w:rsidRPr="009479A9">
        <w:rPr>
          <w:rFonts w:ascii="Calibri" w:eastAsia="Calibri" w:hAnsi="Calibri" w:cs="Calibri"/>
          <w:color w:val="000000" w:themeColor="text1"/>
        </w:rPr>
        <w:t xml:space="preserve">trong </w:t>
      </w:r>
      <w:r>
        <w:rPr>
          <w:rFonts w:ascii="Calibri" w:eastAsia="Calibri" w:hAnsi="Calibri" w:cs="Calibri"/>
          <w:color w:val="000000" w:themeColor="text1"/>
        </w:rPr>
        <w:t>khả năng</w:t>
      </w:r>
      <w:r w:rsidRPr="009479A9">
        <w:rPr>
          <w:rFonts w:ascii="Calibri" w:eastAsia="Calibri" w:hAnsi="Calibri" w:cs="Calibri"/>
          <w:color w:val="000000" w:themeColor="text1"/>
        </w:rPr>
        <w:t xml:space="preserve"> nhưng vẫn cho thấy sự phát triển.</w:t>
      </w:r>
    </w:p>
    <w:p w14:paraId="31B41ABD" w14:textId="16680680" w:rsidR="00EB1006" w:rsidRPr="00EB1006" w:rsidRDefault="00EB1006" w:rsidP="00EB1006">
      <w:pPr>
        <w:pStyle w:val="ListParagraph"/>
        <w:numPr>
          <w:ilvl w:val="0"/>
          <w:numId w:val="1"/>
        </w:numPr>
        <w:spacing w:line="240" w:lineRule="auto"/>
        <w:rPr>
          <w:rFonts w:eastAsiaTheme="minorEastAsia"/>
          <w:color w:val="000000" w:themeColor="text1"/>
          <w:sz w:val="24"/>
          <w:szCs w:val="24"/>
        </w:rPr>
      </w:pPr>
      <w:r w:rsidRPr="009479A9">
        <w:rPr>
          <w:rFonts w:ascii="Calibri" w:eastAsia="Calibri" w:hAnsi="Calibri" w:cs="Calibri"/>
          <w:color w:val="000000" w:themeColor="text1"/>
        </w:rPr>
        <w:t xml:space="preserve">Thay đổi cần có thời gian. Mục tiêu có thể được tạo ra với sự hiểu biết trong tâm trí. Ví dụ: các mục tiêu có thể giữ nguyên trong vài năm liên tiếp và sau đó sẽ cải thiện </w:t>
      </w:r>
      <w:r>
        <w:rPr>
          <w:rFonts w:ascii="Calibri" w:eastAsia="Calibri" w:hAnsi="Calibri" w:cs="Calibri"/>
          <w:color w:val="000000" w:themeColor="text1"/>
        </w:rPr>
        <w:t>dần</w:t>
      </w:r>
      <w:r w:rsidRPr="009479A9">
        <w:rPr>
          <w:rFonts w:ascii="Calibri" w:eastAsia="Calibri" w:hAnsi="Calibri" w:cs="Calibri"/>
          <w:color w:val="000000" w:themeColor="text1"/>
        </w:rPr>
        <w:t xml:space="preserve"> trong năm mục tiêu cuối cùng (FFY 2025). Ngoài ra, các mục tiêu có thể được cải thiện </w:t>
      </w:r>
      <w:r>
        <w:rPr>
          <w:rFonts w:ascii="Calibri" w:eastAsia="Calibri" w:hAnsi="Calibri" w:cs="Calibri"/>
          <w:color w:val="000000" w:themeColor="text1"/>
        </w:rPr>
        <w:t>dần dần qua các</w:t>
      </w:r>
      <w:r w:rsidRPr="009479A9">
        <w:rPr>
          <w:rFonts w:ascii="Calibri" w:eastAsia="Calibri" w:hAnsi="Calibri" w:cs="Calibri"/>
          <w:color w:val="000000" w:themeColor="text1"/>
        </w:rPr>
        <w:t xml:space="preserve"> năm.</w:t>
      </w:r>
    </w:p>
    <w:p w14:paraId="05761B03" w14:textId="72ED631F" w:rsidR="28899E29" w:rsidRDefault="00EB1006" w:rsidP="00BA0EA6">
      <w:pPr>
        <w:spacing w:before="240" w:after="120" w:line="240" w:lineRule="auto"/>
        <w:rPr>
          <w:rFonts w:ascii="Calibri" w:eastAsia="Calibri" w:hAnsi="Calibri" w:cs="Calibri"/>
          <w:color w:val="408740"/>
          <w:sz w:val="24"/>
          <w:szCs w:val="24"/>
        </w:rPr>
      </w:pPr>
      <w:r>
        <w:rPr>
          <w:b/>
          <w:bCs/>
          <w:color w:val="408740"/>
          <w:sz w:val="24"/>
          <w:szCs w:val="24"/>
        </w:rPr>
        <w:t>Ví dụ</w:t>
      </w:r>
      <w:r w:rsidR="28899E29" w:rsidRPr="0842A8EB">
        <w:rPr>
          <w:rFonts w:ascii="Calibri" w:eastAsia="Calibri" w:hAnsi="Calibri" w:cs="Calibri"/>
          <w:b/>
          <w:bCs/>
          <w:color w:val="408740"/>
          <w:sz w:val="24"/>
          <w:szCs w:val="24"/>
        </w:rPr>
        <w:t xml:space="preserve"> A</w:t>
      </w:r>
    </w:p>
    <w:tbl>
      <w:tblPr>
        <w:tblStyle w:val="TableGrid"/>
        <w:tblW w:w="0" w:type="auto"/>
        <w:tblInd w:w="-5" w:type="dxa"/>
        <w:tblLayout w:type="fixed"/>
        <w:tblLook w:val="04A0" w:firstRow="1" w:lastRow="0" w:firstColumn="1" w:lastColumn="0" w:noHBand="0" w:noVBand="1"/>
        <w:tblCaption w:val="Ví dụ A"/>
      </w:tblPr>
      <w:tblGrid>
        <w:gridCol w:w="2425"/>
        <w:gridCol w:w="1240"/>
        <w:gridCol w:w="1241"/>
        <w:gridCol w:w="1241"/>
        <w:gridCol w:w="1241"/>
        <w:gridCol w:w="1241"/>
        <w:gridCol w:w="1241"/>
      </w:tblGrid>
      <w:tr w:rsidR="4EF34651" w14:paraId="69ACAB28" w14:textId="77777777" w:rsidTr="00756A3A">
        <w:trPr>
          <w:tblHeader/>
        </w:trPr>
        <w:tc>
          <w:tcPr>
            <w:tcW w:w="2425" w:type="dxa"/>
            <w:shd w:val="clear" w:color="auto" w:fill="70AD47" w:themeFill="accent6"/>
          </w:tcPr>
          <w:p w14:paraId="7DC7B6FF" w14:textId="0F2DF6E9"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FFY</w:t>
            </w:r>
          </w:p>
        </w:tc>
        <w:tc>
          <w:tcPr>
            <w:tcW w:w="1240" w:type="dxa"/>
            <w:shd w:val="clear" w:color="auto" w:fill="70AD47" w:themeFill="accent6"/>
          </w:tcPr>
          <w:p w14:paraId="6299A54B" w14:textId="1F8F3D78" w:rsidR="4EF34651" w:rsidRDefault="05854BB8" w:rsidP="00BA0EA6">
            <w:pPr>
              <w:spacing w:before="60" w:after="60"/>
              <w:jc w:val="center"/>
              <w:rPr>
                <w:rFonts w:ascii="Calibri" w:eastAsia="Calibri" w:hAnsi="Calibri" w:cs="Calibri"/>
              </w:rPr>
            </w:pPr>
            <w:r w:rsidRPr="5F697387">
              <w:rPr>
                <w:rFonts w:ascii="Calibri" w:eastAsia="Calibri" w:hAnsi="Calibri" w:cs="Calibri"/>
                <w:b/>
                <w:bCs/>
              </w:rPr>
              <w:t>2020</w:t>
            </w:r>
          </w:p>
        </w:tc>
        <w:tc>
          <w:tcPr>
            <w:tcW w:w="1241" w:type="dxa"/>
            <w:shd w:val="clear" w:color="auto" w:fill="70AD47" w:themeFill="accent6"/>
          </w:tcPr>
          <w:p w14:paraId="48766A83" w14:textId="668C2692"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2021</w:t>
            </w:r>
          </w:p>
        </w:tc>
        <w:tc>
          <w:tcPr>
            <w:tcW w:w="1241" w:type="dxa"/>
            <w:shd w:val="clear" w:color="auto" w:fill="70AD47" w:themeFill="accent6"/>
          </w:tcPr>
          <w:p w14:paraId="22E1BF64" w14:textId="4EF62639"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2022</w:t>
            </w:r>
          </w:p>
        </w:tc>
        <w:tc>
          <w:tcPr>
            <w:tcW w:w="1241" w:type="dxa"/>
            <w:shd w:val="clear" w:color="auto" w:fill="70AD47" w:themeFill="accent6"/>
          </w:tcPr>
          <w:p w14:paraId="6388EB27" w14:textId="1F763F9B"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2023</w:t>
            </w:r>
          </w:p>
        </w:tc>
        <w:tc>
          <w:tcPr>
            <w:tcW w:w="1241" w:type="dxa"/>
            <w:shd w:val="clear" w:color="auto" w:fill="70AD47" w:themeFill="accent6"/>
          </w:tcPr>
          <w:p w14:paraId="669DF0A5" w14:textId="2209EBB2"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2024</w:t>
            </w:r>
          </w:p>
        </w:tc>
        <w:tc>
          <w:tcPr>
            <w:tcW w:w="1241" w:type="dxa"/>
            <w:shd w:val="clear" w:color="auto" w:fill="70AD47" w:themeFill="accent6"/>
          </w:tcPr>
          <w:p w14:paraId="7FA1A41A" w14:textId="67CE4BF0"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2025</w:t>
            </w:r>
          </w:p>
        </w:tc>
      </w:tr>
      <w:tr w:rsidR="4EF34651" w14:paraId="66DA0E5A" w14:textId="77777777" w:rsidTr="00756A3A">
        <w:tc>
          <w:tcPr>
            <w:tcW w:w="2425" w:type="dxa"/>
          </w:tcPr>
          <w:p w14:paraId="78AE007E" w14:textId="107ABD86" w:rsidR="4EF34651" w:rsidRDefault="00EB1006" w:rsidP="00BA0EA6">
            <w:pPr>
              <w:spacing w:before="60" w:after="60"/>
              <w:rPr>
                <w:rFonts w:ascii="Calibri" w:eastAsia="Calibri" w:hAnsi="Calibri" w:cs="Calibri"/>
              </w:rPr>
            </w:pPr>
            <w:r>
              <w:rPr>
                <w:rFonts w:ascii="Calibri" w:eastAsia="Calibri" w:hAnsi="Calibri" w:cs="Calibri"/>
              </w:rPr>
              <w:t>Mục tiêu cho Mầm non</w:t>
            </w:r>
            <w:r w:rsidR="00BA0EA6">
              <w:rPr>
                <w:rFonts w:ascii="Calibri" w:eastAsia="Calibri" w:hAnsi="Calibri" w:cs="Calibri"/>
              </w:rPr>
              <w:t xml:space="preserve"> </w:t>
            </w:r>
            <w:r w:rsidR="00BA0EA6">
              <w:rPr>
                <w:rFonts w:eastAsia="Arial" w:cstheme="minorHAnsi"/>
                <w:color w:val="000000" w:themeColor="text1"/>
              </w:rPr>
              <w:t>≥</w:t>
            </w:r>
          </w:p>
        </w:tc>
        <w:tc>
          <w:tcPr>
            <w:tcW w:w="1240" w:type="dxa"/>
          </w:tcPr>
          <w:p w14:paraId="541AF659" w14:textId="11F8A2EA" w:rsidR="4EF34651" w:rsidRDefault="6C35AE81" w:rsidP="00BA0EA6">
            <w:pPr>
              <w:spacing w:before="60" w:after="60"/>
              <w:jc w:val="center"/>
              <w:rPr>
                <w:rFonts w:ascii="Calibri" w:eastAsia="Calibri" w:hAnsi="Calibri" w:cs="Calibri"/>
              </w:rPr>
            </w:pPr>
            <w:r w:rsidRPr="5F697387">
              <w:rPr>
                <w:rFonts w:ascii="Calibri" w:eastAsia="Calibri" w:hAnsi="Calibri" w:cs="Calibri"/>
              </w:rPr>
              <w:t>8</w:t>
            </w:r>
            <w:r w:rsidR="679414DE" w:rsidRPr="5F697387">
              <w:rPr>
                <w:rFonts w:ascii="Calibri" w:eastAsia="Calibri" w:hAnsi="Calibri" w:cs="Calibri"/>
              </w:rPr>
              <w:t>8.99</w:t>
            </w:r>
            <w:r w:rsidRPr="5F697387">
              <w:rPr>
                <w:rFonts w:ascii="Calibri" w:eastAsia="Calibri" w:hAnsi="Calibri" w:cs="Calibri"/>
              </w:rPr>
              <w:t>%</w:t>
            </w:r>
          </w:p>
        </w:tc>
        <w:tc>
          <w:tcPr>
            <w:tcW w:w="1241" w:type="dxa"/>
          </w:tcPr>
          <w:p w14:paraId="5DB5E479" w14:textId="09F740C4" w:rsidR="4EF34651" w:rsidRDefault="56CADF76" w:rsidP="00BA0EA6">
            <w:pPr>
              <w:spacing w:before="60" w:after="60"/>
              <w:jc w:val="center"/>
              <w:rPr>
                <w:rFonts w:ascii="Calibri" w:eastAsia="Calibri" w:hAnsi="Calibri" w:cs="Calibri"/>
              </w:rPr>
            </w:pPr>
            <w:r w:rsidRPr="23843594">
              <w:rPr>
                <w:rFonts w:ascii="Calibri" w:eastAsia="Calibri" w:hAnsi="Calibri" w:cs="Calibri"/>
              </w:rPr>
              <w:t>88.99%</w:t>
            </w:r>
          </w:p>
        </w:tc>
        <w:tc>
          <w:tcPr>
            <w:tcW w:w="1241" w:type="dxa"/>
          </w:tcPr>
          <w:p w14:paraId="31544437" w14:textId="7AE02EA6" w:rsidR="4EF34651" w:rsidRDefault="56CADF76" w:rsidP="00BA0EA6">
            <w:pPr>
              <w:spacing w:before="60" w:after="60"/>
              <w:jc w:val="center"/>
              <w:rPr>
                <w:rFonts w:ascii="Calibri" w:eastAsia="Calibri" w:hAnsi="Calibri" w:cs="Calibri"/>
              </w:rPr>
            </w:pPr>
            <w:r w:rsidRPr="23843594">
              <w:rPr>
                <w:rFonts w:ascii="Calibri" w:eastAsia="Calibri" w:hAnsi="Calibri" w:cs="Calibri"/>
              </w:rPr>
              <w:t>88.99%</w:t>
            </w:r>
          </w:p>
        </w:tc>
        <w:tc>
          <w:tcPr>
            <w:tcW w:w="1241" w:type="dxa"/>
          </w:tcPr>
          <w:p w14:paraId="43821E06" w14:textId="5A9DA678" w:rsidR="4EF34651" w:rsidRDefault="56CADF76" w:rsidP="00BA0EA6">
            <w:pPr>
              <w:spacing w:before="60" w:after="60"/>
              <w:jc w:val="center"/>
              <w:rPr>
                <w:rFonts w:ascii="Calibri" w:eastAsia="Calibri" w:hAnsi="Calibri" w:cs="Calibri"/>
              </w:rPr>
            </w:pPr>
            <w:r w:rsidRPr="23843594">
              <w:rPr>
                <w:rFonts w:ascii="Calibri" w:eastAsia="Calibri" w:hAnsi="Calibri" w:cs="Calibri"/>
              </w:rPr>
              <w:t>89</w:t>
            </w:r>
            <w:r w:rsidR="00BA0EA6">
              <w:rPr>
                <w:rFonts w:ascii="Calibri" w:eastAsia="Calibri" w:hAnsi="Calibri" w:cs="Calibri"/>
              </w:rPr>
              <w:t>.00</w:t>
            </w:r>
            <w:r w:rsidRPr="23843594">
              <w:rPr>
                <w:rFonts w:ascii="Calibri" w:eastAsia="Calibri" w:hAnsi="Calibri" w:cs="Calibri"/>
              </w:rPr>
              <w:t>%</w:t>
            </w:r>
          </w:p>
        </w:tc>
        <w:tc>
          <w:tcPr>
            <w:tcW w:w="1241" w:type="dxa"/>
          </w:tcPr>
          <w:p w14:paraId="76EEA953" w14:textId="31867536" w:rsidR="4EF34651" w:rsidRDefault="56CADF76" w:rsidP="00BA0EA6">
            <w:pPr>
              <w:spacing w:before="60" w:after="60"/>
              <w:jc w:val="center"/>
              <w:rPr>
                <w:rFonts w:ascii="Calibri" w:eastAsia="Calibri" w:hAnsi="Calibri" w:cs="Calibri"/>
              </w:rPr>
            </w:pPr>
            <w:r w:rsidRPr="23843594">
              <w:rPr>
                <w:rFonts w:ascii="Calibri" w:eastAsia="Calibri" w:hAnsi="Calibri" w:cs="Calibri"/>
              </w:rPr>
              <w:t>89</w:t>
            </w:r>
            <w:r w:rsidR="00BA0EA6">
              <w:rPr>
                <w:rFonts w:ascii="Calibri" w:eastAsia="Calibri" w:hAnsi="Calibri" w:cs="Calibri"/>
              </w:rPr>
              <w:t>.00</w:t>
            </w:r>
            <w:r w:rsidRPr="23843594">
              <w:rPr>
                <w:rFonts w:ascii="Calibri" w:eastAsia="Calibri" w:hAnsi="Calibri" w:cs="Calibri"/>
              </w:rPr>
              <w:t>%</w:t>
            </w:r>
          </w:p>
        </w:tc>
        <w:tc>
          <w:tcPr>
            <w:tcW w:w="1241" w:type="dxa"/>
          </w:tcPr>
          <w:p w14:paraId="1C90BC93" w14:textId="6A42067B" w:rsidR="4EF34651" w:rsidRDefault="174802E7" w:rsidP="00BA0EA6">
            <w:pPr>
              <w:spacing w:before="60" w:after="60"/>
              <w:jc w:val="center"/>
              <w:rPr>
                <w:rFonts w:ascii="Calibri" w:eastAsia="Calibri" w:hAnsi="Calibri" w:cs="Calibri"/>
                <w:highlight w:val="yellow"/>
              </w:rPr>
            </w:pPr>
            <w:r w:rsidRPr="0065487F">
              <w:rPr>
                <w:rFonts w:ascii="Calibri" w:eastAsia="Calibri" w:hAnsi="Calibri" w:cs="Calibri"/>
              </w:rPr>
              <w:t>89</w:t>
            </w:r>
            <w:r w:rsidR="00BA0EA6" w:rsidRPr="0065487F">
              <w:rPr>
                <w:rFonts w:ascii="Calibri" w:eastAsia="Calibri" w:hAnsi="Calibri" w:cs="Calibri"/>
              </w:rPr>
              <w:t>.00</w:t>
            </w:r>
            <w:r w:rsidR="6C062D4C" w:rsidRPr="0065487F">
              <w:rPr>
                <w:rFonts w:ascii="Calibri" w:eastAsia="Calibri" w:hAnsi="Calibri" w:cs="Calibri"/>
              </w:rPr>
              <w:t>%</w:t>
            </w:r>
          </w:p>
        </w:tc>
      </w:tr>
      <w:tr w:rsidR="4EF34651" w14:paraId="583B82A2" w14:textId="77777777" w:rsidTr="00756A3A">
        <w:tc>
          <w:tcPr>
            <w:tcW w:w="2425" w:type="dxa"/>
          </w:tcPr>
          <w:p w14:paraId="1847239C" w14:textId="746F1004" w:rsidR="4EF34651" w:rsidRDefault="00EB1006" w:rsidP="00BA0EA6">
            <w:pPr>
              <w:spacing w:before="60" w:after="60"/>
              <w:rPr>
                <w:rFonts w:ascii="Calibri" w:eastAsia="Calibri" w:hAnsi="Calibri" w:cs="Calibri"/>
              </w:rPr>
            </w:pPr>
            <w:r>
              <w:rPr>
                <w:rFonts w:ascii="Calibri" w:eastAsia="Calibri" w:hAnsi="Calibri" w:cs="Calibri"/>
              </w:rPr>
              <w:t>Mục tiêu cho Tuổi đến trường</w:t>
            </w:r>
            <w:r w:rsidR="00BA0EA6">
              <w:rPr>
                <w:rFonts w:ascii="Calibri" w:eastAsia="Calibri" w:hAnsi="Calibri" w:cs="Calibri"/>
              </w:rPr>
              <w:t xml:space="preserve"> </w:t>
            </w:r>
            <w:r w:rsidR="00BA0EA6">
              <w:rPr>
                <w:rFonts w:eastAsia="Arial" w:cstheme="minorHAnsi"/>
                <w:color w:val="000000" w:themeColor="text1"/>
              </w:rPr>
              <w:t>≥</w:t>
            </w:r>
          </w:p>
        </w:tc>
        <w:tc>
          <w:tcPr>
            <w:tcW w:w="1240" w:type="dxa"/>
          </w:tcPr>
          <w:p w14:paraId="778E27DA" w14:textId="6C5B3C1F" w:rsidR="4EF34651" w:rsidRDefault="0C322520" w:rsidP="00BA0EA6">
            <w:pPr>
              <w:spacing w:before="60" w:after="60"/>
              <w:jc w:val="center"/>
              <w:rPr>
                <w:rFonts w:ascii="Calibri" w:eastAsia="Calibri" w:hAnsi="Calibri" w:cs="Calibri"/>
              </w:rPr>
            </w:pPr>
            <w:r w:rsidRPr="5F697387">
              <w:rPr>
                <w:rFonts w:ascii="Calibri" w:eastAsia="Calibri" w:hAnsi="Calibri" w:cs="Calibri"/>
              </w:rPr>
              <w:t>8</w:t>
            </w:r>
            <w:r w:rsidR="6CABE536" w:rsidRPr="5F697387">
              <w:rPr>
                <w:rFonts w:ascii="Calibri" w:eastAsia="Calibri" w:hAnsi="Calibri" w:cs="Calibri"/>
              </w:rPr>
              <w:t>3.56</w:t>
            </w:r>
            <w:r w:rsidRPr="5F697387">
              <w:rPr>
                <w:rFonts w:ascii="Calibri" w:eastAsia="Calibri" w:hAnsi="Calibri" w:cs="Calibri"/>
              </w:rPr>
              <w:t>%</w:t>
            </w:r>
          </w:p>
        </w:tc>
        <w:tc>
          <w:tcPr>
            <w:tcW w:w="1241" w:type="dxa"/>
          </w:tcPr>
          <w:p w14:paraId="555694E1" w14:textId="15100760" w:rsidR="4EF34651" w:rsidRDefault="48BEA9FF" w:rsidP="00BA0EA6">
            <w:pPr>
              <w:spacing w:before="60" w:after="60"/>
              <w:jc w:val="center"/>
              <w:rPr>
                <w:rFonts w:ascii="Calibri" w:eastAsia="Calibri" w:hAnsi="Calibri" w:cs="Calibri"/>
              </w:rPr>
            </w:pPr>
            <w:r w:rsidRPr="23843594">
              <w:rPr>
                <w:rFonts w:ascii="Calibri" w:eastAsia="Calibri" w:hAnsi="Calibri" w:cs="Calibri"/>
              </w:rPr>
              <w:t>84.05%</w:t>
            </w:r>
          </w:p>
        </w:tc>
        <w:tc>
          <w:tcPr>
            <w:tcW w:w="1241" w:type="dxa"/>
          </w:tcPr>
          <w:p w14:paraId="2AD6282A" w14:textId="4C1E9C5A" w:rsidR="4EF34651" w:rsidRDefault="48BEA9FF" w:rsidP="00BA0EA6">
            <w:pPr>
              <w:spacing w:before="60" w:after="60"/>
              <w:jc w:val="center"/>
              <w:rPr>
                <w:rFonts w:ascii="Calibri" w:eastAsia="Calibri" w:hAnsi="Calibri" w:cs="Calibri"/>
              </w:rPr>
            </w:pPr>
            <w:r w:rsidRPr="23843594">
              <w:rPr>
                <w:rFonts w:ascii="Calibri" w:eastAsia="Calibri" w:hAnsi="Calibri" w:cs="Calibri"/>
              </w:rPr>
              <w:t>84.54%</w:t>
            </w:r>
          </w:p>
        </w:tc>
        <w:tc>
          <w:tcPr>
            <w:tcW w:w="1241" w:type="dxa"/>
          </w:tcPr>
          <w:p w14:paraId="0D28F132" w14:textId="674D9D7C" w:rsidR="4EF34651" w:rsidRDefault="48BEA9FF" w:rsidP="00BA0EA6">
            <w:pPr>
              <w:spacing w:before="60" w:after="60"/>
              <w:jc w:val="center"/>
              <w:rPr>
                <w:rFonts w:ascii="Calibri" w:eastAsia="Calibri" w:hAnsi="Calibri" w:cs="Calibri"/>
              </w:rPr>
            </w:pPr>
            <w:r w:rsidRPr="23843594">
              <w:rPr>
                <w:rFonts w:ascii="Calibri" w:eastAsia="Calibri" w:hAnsi="Calibri" w:cs="Calibri"/>
              </w:rPr>
              <w:t>85.02%</w:t>
            </w:r>
          </w:p>
        </w:tc>
        <w:tc>
          <w:tcPr>
            <w:tcW w:w="1241" w:type="dxa"/>
          </w:tcPr>
          <w:p w14:paraId="093F8A99" w14:textId="62F5136B" w:rsidR="4EF34651" w:rsidRDefault="48BEA9FF" w:rsidP="00BA0EA6">
            <w:pPr>
              <w:spacing w:before="60" w:after="60"/>
              <w:jc w:val="center"/>
              <w:rPr>
                <w:rFonts w:ascii="Calibri" w:eastAsia="Calibri" w:hAnsi="Calibri" w:cs="Calibri"/>
              </w:rPr>
            </w:pPr>
            <w:r w:rsidRPr="23843594">
              <w:rPr>
                <w:rFonts w:ascii="Calibri" w:eastAsia="Calibri" w:hAnsi="Calibri" w:cs="Calibri"/>
              </w:rPr>
              <w:t>85.51%</w:t>
            </w:r>
          </w:p>
        </w:tc>
        <w:tc>
          <w:tcPr>
            <w:tcW w:w="1241" w:type="dxa"/>
          </w:tcPr>
          <w:p w14:paraId="24C30D4B" w14:textId="0C83CB4A" w:rsidR="4EF34651" w:rsidRDefault="326E5401" w:rsidP="00BA0EA6">
            <w:pPr>
              <w:spacing w:before="60" w:after="60"/>
              <w:jc w:val="center"/>
              <w:rPr>
                <w:rFonts w:ascii="Calibri" w:eastAsia="Calibri" w:hAnsi="Calibri" w:cs="Calibri"/>
              </w:rPr>
            </w:pPr>
            <w:r w:rsidRPr="5F697387">
              <w:rPr>
                <w:rFonts w:ascii="Calibri" w:eastAsia="Calibri" w:hAnsi="Calibri" w:cs="Calibri"/>
              </w:rPr>
              <w:t>86</w:t>
            </w:r>
            <w:r w:rsidR="00BA0EA6">
              <w:rPr>
                <w:rFonts w:ascii="Calibri" w:eastAsia="Calibri" w:hAnsi="Calibri" w:cs="Calibri"/>
              </w:rPr>
              <w:t>.00</w:t>
            </w:r>
            <w:r w:rsidRPr="5F697387">
              <w:rPr>
                <w:rFonts w:ascii="Calibri" w:eastAsia="Calibri" w:hAnsi="Calibri" w:cs="Calibri"/>
              </w:rPr>
              <w:t>%</w:t>
            </w:r>
          </w:p>
        </w:tc>
      </w:tr>
    </w:tbl>
    <w:p w14:paraId="7B353ED9" w14:textId="437E6079" w:rsidR="28899E29" w:rsidRDefault="00EB1006" w:rsidP="00BA0EA6">
      <w:pPr>
        <w:spacing w:before="120" w:after="120" w:line="240" w:lineRule="auto"/>
        <w:rPr>
          <w:rFonts w:ascii="Calibri" w:eastAsia="Calibri" w:hAnsi="Calibri" w:cs="Calibri"/>
          <w:color w:val="000000" w:themeColor="text1"/>
          <w:sz w:val="24"/>
          <w:szCs w:val="24"/>
        </w:rPr>
      </w:pPr>
      <w:r w:rsidRPr="00EB1006">
        <w:rPr>
          <w:rFonts w:ascii="Calibri" w:eastAsia="Calibri" w:hAnsi="Calibri" w:cs="Calibri"/>
          <w:color w:val="000000" w:themeColor="text1"/>
          <w:sz w:val="24"/>
          <w:szCs w:val="24"/>
        </w:rPr>
        <w:t xml:space="preserve">Ví dụ A cho thấy sự </w:t>
      </w:r>
      <w:r w:rsidR="005A6E45">
        <w:rPr>
          <w:rFonts w:ascii="Calibri" w:eastAsia="Calibri" w:hAnsi="Calibri" w:cs="Calibri"/>
          <w:color w:val="000000" w:themeColor="text1"/>
          <w:sz w:val="24"/>
          <w:szCs w:val="24"/>
        </w:rPr>
        <w:t>gia tang dần dần</w:t>
      </w:r>
      <w:r w:rsidRPr="00EB1006">
        <w:rPr>
          <w:rFonts w:ascii="Calibri" w:eastAsia="Calibri" w:hAnsi="Calibri" w:cs="Calibri"/>
          <w:color w:val="000000" w:themeColor="text1"/>
          <w:sz w:val="24"/>
          <w:szCs w:val="24"/>
        </w:rPr>
        <w:t>.</w:t>
      </w:r>
    </w:p>
    <w:p w14:paraId="54D3DAC2" w14:textId="6A1D975F" w:rsidR="28899E29" w:rsidRDefault="00EB1006" w:rsidP="00BA0EA6">
      <w:pPr>
        <w:spacing w:before="240" w:after="0" w:line="240" w:lineRule="auto"/>
        <w:rPr>
          <w:rFonts w:ascii="Calibri" w:eastAsia="Calibri" w:hAnsi="Calibri" w:cs="Calibri"/>
          <w:color w:val="408740"/>
          <w:sz w:val="24"/>
          <w:szCs w:val="24"/>
        </w:rPr>
      </w:pPr>
      <w:r>
        <w:rPr>
          <w:b/>
          <w:bCs/>
          <w:color w:val="408740"/>
          <w:sz w:val="24"/>
          <w:szCs w:val="24"/>
        </w:rPr>
        <w:t>Ví dụ</w:t>
      </w:r>
      <w:r w:rsidR="28899E29" w:rsidRPr="0842A8EB">
        <w:rPr>
          <w:rFonts w:ascii="Calibri" w:eastAsia="Calibri" w:hAnsi="Calibri" w:cs="Calibri"/>
          <w:b/>
          <w:bCs/>
          <w:color w:val="408740"/>
          <w:sz w:val="24"/>
          <w:szCs w:val="24"/>
        </w:rPr>
        <w:t xml:space="preserve"> B</w:t>
      </w:r>
    </w:p>
    <w:tbl>
      <w:tblPr>
        <w:tblStyle w:val="TableGrid"/>
        <w:tblW w:w="0" w:type="auto"/>
        <w:tblLayout w:type="fixed"/>
        <w:tblLook w:val="04A0" w:firstRow="1" w:lastRow="0" w:firstColumn="1" w:lastColumn="0" w:noHBand="0" w:noVBand="1"/>
        <w:tblCaption w:val="Ví dụ B"/>
      </w:tblPr>
      <w:tblGrid>
        <w:gridCol w:w="2425"/>
        <w:gridCol w:w="1240"/>
        <w:gridCol w:w="1241"/>
        <w:gridCol w:w="1241"/>
        <w:gridCol w:w="1241"/>
        <w:gridCol w:w="1241"/>
        <w:gridCol w:w="1241"/>
      </w:tblGrid>
      <w:tr w:rsidR="4EF34651" w14:paraId="23CDC24E" w14:textId="77777777" w:rsidTr="00756A3A">
        <w:trPr>
          <w:tblHeader/>
        </w:trPr>
        <w:tc>
          <w:tcPr>
            <w:tcW w:w="2425" w:type="dxa"/>
            <w:shd w:val="clear" w:color="auto" w:fill="5B9BD5" w:themeFill="accent5"/>
          </w:tcPr>
          <w:p w14:paraId="4904642F" w14:textId="368DCF96" w:rsidR="4EF34651" w:rsidRDefault="4EF34651" w:rsidP="00BA0EA6">
            <w:pPr>
              <w:spacing w:before="60" w:after="60"/>
              <w:jc w:val="center"/>
              <w:rPr>
                <w:rFonts w:ascii="Calibri" w:eastAsia="Calibri" w:hAnsi="Calibri" w:cs="Calibri"/>
              </w:rPr>
            </w:pPr>
            <w:bookmarkStart w:id="1" w:name="_GoBack" w:colFirst="0" w:colLast="7"/>
            <w:r w:rsidRPr="4EF34651">
              <w:rPr>
                <w:rFonts w:ascii="Calibri" w:eastAsia="Calibri" w:hAnsi="Calibri" w:cs="Calibri"/>
                <w:b/>
                <w:bCs/>
              </w:rPr>
              <w:t>FFY</w:t>
            </w:r>
          </w:p>
        </w:tc>
        <w:tc>
          <w:tcPr>
            <w:tcW w:w="1240" w:type="dxa"/>
            <w:shd w:val="clear" w:color="auto" w:fill="5B9BD5" w:themeFill="accent5"/>
          </w:tcPr>
          <w:p w14:paraId="44FA6CFB" w14:textId="22C372BD" w:rsidR="4EF34651" w:rsidRDefault="05854BB8" w:rsidP="00BA0EA6">
            <w:pPr>
              <w:spacing w:before="60" w:after="60"/>
              <w:jc w:val="center"/>
              <w:rPr>
                <w:rFonts w:ascii="Calibri" w:eastAsia="Calibri" w:hAnsi="Calibri" w:cs="Calibri"/>
              </w:rPr>
            </w:pPr>
            <w:r w:rsidRPr="5F697387">
              <w:rPr>
                <w:rFonts w:ascii="Calibri" w:eastAsia="Calibri" w:hAnsi="Calibri" w:cs="Calibri"/>
                <w:b/>
                <w:bCs/>
              </w:rPr>
              <w:t>2020</w:t>
            </w:r>
          </w:p>
        </w:tc>
        <w:tc>
          <w:tcPr>
            <w:tcW w:w="1241" w:type="dxa"/>
            <w:shd w:val="clear" w:color="auto" w:fill="5B9BD5" w:themeFill="accent5"/>
          </w:tcPr>
          <w:p w14:paraId="5EA38974" w14:textId="0E33F04A"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2021</w:t>
            </w:r>
          </w:p>
        </w:tc>
        <w:tc>
          <w:tcPr>
            <w:tcW w:w="1241" w:type="dxa"/>
            <w:shd w:val="clear" w:color="auto" w:fill="5B9BD5" w:themeFill="accent5"/>
          </w:tcPr>
          <w:p w14:paraId="14F41943" w14:textId="2A0254F2"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2022</w:t>
            </w:r>
          </w:p>
        </w:tc>
        <w:tc>
          <w:tcPr>
            <w:tcW w:w="1241" w:type="dxa"/>
            <w:shd w:val="clear" w:color="auto" w:fill="5B9BD5" w:themeFill="accent5"/>
          </w:tcPr>
          <w:p w14:paraId="162F9204" w14:textId="2F290BE3"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2023</w:t>
            </w:r>
          </w:p>
        </w:tc>
        <w:tc>
          <w:tcPr>
            <w:tcW w:w="1241" w:type="dxa"/>
            <w:shd w:val="clear" w:color="auto" w:fill="5B9BD5" w:themeFill="accent5"/>
          </w:tcPr>
          <w:p w14:paraId="63D4A56E" w14:textId="6D3C66D6"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2024</w:t>
            </w:r>
          </w:p>
        </w:tc>
        <w:tc>
          <w:tcPr>
            <w:tcW w:w="1241" w:type="dxa"/>
            <w:shd w:val="clear" w:color="auto" w:fill="5B9BD5" w:themeFill="accent5"/>
          </w:tcPr>
          <w:p w14:paraId="53C45C73" w14:textId="65EA2BCA"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2025</w:t>
            </w:r>
          </w:p>
        </w:tc>
      </w:tr>
      <w:bookmarkEnd w:id="1"/>
      <w:tr w:rsidR="4EF34651" w14:paraId="124BBAC7" w14:textId="77777777" w:rsidTr="00976053">
        <w:tc>
          <w:tcPr>
            <w:tcW w:w="2425" w:type="dxa"/>
          </w:tcPr>
          <w:p w14:paraId="56A3E17E" w14:textId="65A60F9A" w:rsidR="4EF34651" w:rsidRDefault="00EB1006" w:rsidP="00BA0EA6">
            <w:pPr>
              <w:spacing w:before="60" w:after="60"/>
              <w:rPr>
                <w:rFonts w:ascii="Calibri" w:eastAsia="Calibri" w:hAnsi="Calibri" w:cs="Calibri"/>
              </w:rPr>
            </w:pPr>
            <w:r>
              <w:rPr>
                <w:rFonts w:ascii="Calibri" w:eastAsia="Calibri" w:hAnsi="Calibri" w:cs="Calibri"/>
              </w:rPr>
              <w:t xml:space="preserve">Mục tiêu cho Mầm non </w:t>
            </w:r>
            <w:r w:rsidR="00BA0EA6">
              <w:rPr>
                <w:rFonts w:eastAsia="Arial" w:cstheme="minorHAnsi"/>
                <w:color w:val="000000" w:themeColor="text1"/>
              </w:rPr>
              <w:t>≥</w:t>
            </w:r>
          </w:p>
        </w:tc>
        <w:tc>
          <w:tcPr>
            <w:tcW w:w="1240" w:type="dxa"/>
          </w:tcPr>
          <w:p w14:paraId="04190129" w14:textId="5AAFFA78" w:rsidR="4EF34651" w:rsidRDefault="496069B2" w:rsidP="00BA0EA6">
            <w:pPr>
              <w:spacing w:before="60" w:after="60"/>
              <w:jc w:val="center"/>
              <w:rPr>
                <w:rFonts w:ascii="Calibri" w:eastAsia="Calibri" w:hAnsi="Calibri" w:cs="Calibri"/>
              </w:rPr>
            </w:pPr>
            <w:r w:rsidRPr="5F697387">
              <w:rPr>
                <w:rFonts w:ascii="Calibri" w:eastAsia="Calibri" w:hAnsi="Calibri" w:cs="Calibri"/>
              </w:rPr>
              <w:t>8</w:t>
            </w:r>
            <w:r w:rsidR="3D8A0189" w:rsidRPr="5F697387">
              <w:rPr>
                <w:rFonts w:ascii="Calibri" w:eastAsia="Calibri" w:hAnsi="Calibri" w:cs="Calibri"/>
              </w:rPr>
              <w:t>8.99</w:t>
            </w:r>
            <w:r w:rsidRPr="5F697387">
              <w:rPr>
                <w:rFonts w:ascii="Calibri" w:eastAsia="Calibri" w:hAnsi="Calibri" w:cs="Calibri"/>
              </w:rPr>
              <w:t>%</w:t>
            </w:r>
          </w:p>
        </w:tc>
        <w:tc>
          <w:tcPr>
            <w:tcW w:w="1241" w:type="dxa"/>
          </w:tcPr>
          <w:p w14:paraId="187D9AAE" w14:textId="4B2D3C8E" w:rsidR="4EF34651" w:rsidRDefault="2AC75235" w:rsidP="00BA0EA6">
            <w:pPr>
              <w:spacing w:before="60" w:after="60"/>
              <w:jc w:val="center"/>
              <w:rPr>
                <w:rFonts w:ascii="Calibri" w:eastAsia="Calibri" w:hAnsi="Calibri" w:cs="Calibri"/>
              </w:rPr>
            </w:pPr>
            <w:r w:rsidRPr="23843594">
              <w:rPr>
                <w:rFonts w:ascii="Calibri" w:eastAsia="Calibri" w:hAnsi="Calibri" w:cs="Calibri"/>
              </w:rPr>
              <w:t>89.39%</w:t>
            </w:r>
          </w:p>
        </w:tc>
        <w:tc>
          <w:tcPr>
            <w:tcW w:w="1241" w:type="dxa"/>
          </w:tcPr>
          <w:p w14:paraId="0464BB12" w14:textId="4243C826" w:rsidR="4EF34651" w:rsidRDefault="2AC75235" w:rsidP="00BA0EA6">
            <w:pPr>
              <w:spacing w:before="60" w:after="60"/>
              <w:jc w:val="center"/>
              <w:rPr>
                <w:rFonts w:ascii="Calibri" w:eastAsia="Calibri" w:hAnsi="Calibri" w:cs="Calibri"/>
              </w:rPr>
            </w:pPr>
            <w:r w:rsidRPr="23843594">
              <w:rPr>
                <w:rFonts w:ascii="Calibri" w:eastAsia="Calibri" w:hAnsi="Calibri" w:cs="Calibri"/>
              </w:rPr>
              <w:t>89.79%</w:t>
            </w:r>
          </w:p>
        </w:tc>
        <w:tc>
          <w:tcPr>
            <w:tcW w:w="1241" w:type="dxa"/>
          </w:tcPr>
          <w:p w14:paraId="54C42B9A" w14:textId="4CFA131A" w:rsidR="4EF34651" w:rsidRDefault="2AC75235" w:rsidP="00BA0EA6">
            <w:pPr>
              <w:spacing w:before="60" w:after="60"/>
              <w:jc w:val="center"/>
              <w:rPr>
                <w:rFonts w:ascii="Calibri" w:eastAsia="Calibri" w:hAnsi="Calibri" w:cs="Calibri"/>
              </w:rPr>
            </w:pPr>
            <w:r w:rsidRPr="23843594">
              <w:rPr>
                <w:rFonts w:ascii="Calibri" w:eastAsia="Calibri" w:hAnsi="Calibri" w:cs="Calibri"/>
              </w:rPr>
              <w:t>90.2</w:t>
            </w:r>
            <w:r w:rsidR="00BA0EA6">
              <w:rPr>
                <w:rFonts w:ascii="Calibri" w:eastAsia="Calibri" w:hAnsi="Calibri" w:cs="Calibri"/>
              </w:rPr>
              <w:t>0</w:t>
            </w:r>
            <w:r w:rsidRPr="23843594">
              <w:rPr>
                <w:rFonts w:ascii="Calibri" w:eastAsia="Calibri" w:hAnsi="Calibri" w:cs="Calibri"/>
              </w:rPr>
              <w:t>%</w:t>
            </w:r>
          </w:p>
        </w:tc>
        <w:tc>
          <w:tcPr>
            <w:tcW w:w="1241" w:type="dxa"/>
          </w:tcPr>
          <w:p w14:paraId="2170227D" w14:textId="32F58E3F" w:rsidR="4EF34651" w:rsidRDefault="2AC75235" w:rsidP="00BA0EA6">
            <w:pPr>
              <w:spacing w:before="60" w:after="60"/>
              <w:jc w:val="center"/>
              <w:rPr>
                <w:rFonts w:ascii="Calibri" w:eastAsia="Calibri" w:hAnsi="Calibri" w:cs="Calibri"/>
              </w:rPr>
            </w:pPr>
            <w:r w:rsidRPr="23843594">
              <w:rPr>
                <w:rFonts w:ascii="Calibri" w:eastAsia="Calibri" w:hAnsi="Calibri" w:cs="Calibri"/>
              </w:rPr>
              <w:t>90.6</w:t>
            </w:r>
            <w:r w:rsidR="00BA0EA6">
              <w:rPr>
                <w:rFonts w:ascii="Calibri" w:eastAsia="Calibri" w:hAnsi="Calibri" w:cs="Calibri"/>
              </w:rPr>
              <w:t>0</w:t>
            </w:r>
            <w:r w:rsidRPr="23843594">
              <w:rPr>
                <w:rFonts w:ascii="Calibri" w:eastAsia="Calibri" w:hAnsi="Calibri" w:cs="Calibri"/>
              </w:rPr>
              <w:t>%</w:t>
            </w:r>
          </w:p>
        </w:tc>
        <w:tc>
          <w:tcPr>
            <w:tcW w:w="1241" w:type="dxa"/>
          </w:tcPr>
          <w:p w14:paraId="06C0B568" w14:textId="21506FC2" w:rsidR="4EF34651" w:rsidRDefault="67D8F31E" w:rsidP="00BA0EA6">
            <w:pPr>
              <w:spacing w:before="60" w:after="60"/>
              <w:jc w:val="center"/>
              <w:rPr>
                <w:rFonts w:ascii="Calibri" w:eastAsia="Calibri" w:hAnsi="Calibri" w:cs="Calibri"/>
              </w:rPr>
            </w:pPr>
            <w:r w:rsidRPr="0065487F">
              <w:rPr>
                <w:rFonts w:ascii="Calibri" w:eastAsia="Calibri" w:hAnsi="Calibri" w:cs="Calibri"/>
              </w:rPr>
              <w:t>91</w:t>
            </w:r>
            <w:r w:rsidR="00BA0EA6" w:rsidRPr="0065487F">
              <w:rPr>
                <w:rFonts w:ascii="Calibri" w:eastAsia="Calibri" w:hAnsi="Calibri" w:cs="Calibri"/>
              </w:rPr>
              <w:t>.00</w:t>
            </w:r>
            <w:r w:rsidRPr="0065487F">
              <w:rPr>
                <w:rFonts w:ascii="Calibri" w:eastAsia="Calibri" w:hAnsi="Calibri" w:cs="Calibri"/>
              </w:rPr>
              <w:t>%</w:t>
            </w:r>
          </w:p>
        </w:tc>
      </w:tr>
      <w:tr w:rsidR="4EF34651" w14:paraId="0F04087D" w14:textId="77777777" w:rsidTr="00976053">
        <w:tc>
          <w:tcPr>
            <w:tcW w:w="2425" w:type="dxa"/>
          </w:tcPr>
          <w:p w14:paraId="67DBD4BC" w14:textId="3D4741A1" w:rsidR="4EF34651" w:rsidRDefault="00EB1006" w:rsidP="00BA0EA6">
            <w:pPr>
              <w:spacing w:before="60" w:after="60"/>
              <w:rPr>
                <w:rFonts w:ascii="Calibri" w:eastAsia="Calibri" w:hAnsi="Calibri" w:cs="Calibri"/>
              </w:rPr>
            </w:pPr>
            <w:r>
              <w:rPr>
                <w:rFonts w:ascii="Calibri" w:eastAsia="Calibri" w:hAnsi="Calibri" w:cs="Calibri"/>
              </w:rPr>
              <w:t xml:space="preserve">Mục tiêu cho Tuổi đến trường </w:t>
            </w:r>
            <w:r w:rsidR="00BA0EA6">
              <w:rPr>
                <w:rFonts w:eastAsia="Arial" w:cstheme="minorHAnsi"/>
                <w:color w:val="000000" w:themeColor="text1"/>
              </w:rPr>
              <w:t>≥</w:t>
            </w:r>
          </w:p>
        </w:tc>
        <w:tc>
          <w:tcPr>
            <w:tcW w:w="1240" w:type="dxa"/>
          </w:tcPr>
          <w:p w14:paraId="4C970D78" w14:textId="569A6EC5" w:rsidR="4EF34651" w:rsidRDefault="54B0F1B5" w:rsidP="00BA0EA6">
            <w:pPr>
              <w:spacing w:before="60" w:after="60"/>
              <w:jc w:val="center"/>
              <w:rPr>
                <w:rFonts w:ascii="Calibri" w:eastAsia="Calibri" w:hAnsi="Calibri" w:cs="Calibri"/>
              </w:rPr>
            </w:pPr>
            <w:r w:rsidRPr="5F697387">
              <w:rPr>
                <w:rFonts w:ascii="Calibri" w:eastAsia="Calibri" w:hAnsi="Calibri" w:cs="Calibri"/>
              </w:rPr>
              <w:t>8</w:t>
            </w:r>
            <w:r w:rsidR="321CF482" w:rsidRPr="5F697387">
              <w:rPr>
                <w:rFonts w:ascii="Calibri" w:eastAsia="Calibri" w:hAnsi="Calibri" w:cs="Calibri"/>
              </w:rPr>
              <w:t>3.56</w:t>
            </w:r>
            <w:r w:rsidRPr="5F697387">
              <w:rPr>
                <w:rFonts w:ascii="Calibri" w:eastAsia="Calibri" w:hAnsi="Calibri" w:cs="Calibri"/>
              </w:rPr>
              <w:t>%</w:t>
            </w:r>
          </w:p>
        </w:tc>
        <w:tc>
          <w:tcPr>
            <w:tcW w:w="1241" w:type="dxa"/>
          </w:tcPr>
          <w:p w14:paraId="31B5678C" w14:textId="30C2E963" w:rsidR="4EF34651" w:rsidRDefault="5833D34A" w:rsidP="00BA0EA6">
            <w:pPr>
              <w:spacing w:before="60" w:after="60"/>
              <w:jc w:val="center"/>
              <w:rPr>
                <w:rFonts w:ascii="Calibri" w:eastAsia="Calibri" w:hAnsi="Calibri" w:cs="Calibri"/>
              </w:rPr>
            </w:pPr>
            <w:r w:rsidRPr="23843594">
              <w:rPr>
                <w:rFonts w:ascii="Calibri" w:eastAsia="Calibri" w:hAnsi="Calibri" w:cs="Calibri"/>
              </w:rPr>
              <w:t>84.45%</w:t>
            </w:r>
          </w:p>
        </w:tc>
        <w:tc>
          <w:tcPr>
            <w:tcW w:w="1241" w:type="dxa"/>
          </w:tcPr>
          <w:p w14:paraId="4C835354" w14:textId="4DDB70A3" w:rsidR="4EF34651" w:rsidRDefault="5833D34A" w:rsidP="00BA0EA6">
            <w:pPr>
              <w:spacing w:before="60" w:after="60"/>
              <w:jc w:val="center"/>
              <w:rPr>
                <w:rFonts w:ascii="Calibri" w:eastAsia="Calibri" w:hAnsi="Calibri" w:cs="Calibri"/>
              </w:rPr>
            </w:pPr>
            <w:r w:rsidRPr="23843594">
              <w:rPr>
                <w:rFonts w:ascii="Calibri" w:eastAsia="Calibri" w:hAnsi="Calibri" w:cs="Calibri"/>
              </w:rPr>
              <w:t>85.34%</w:t>
            </w:r>
          </w:p>
        </w:tc>
        <w:tc>
          <w:tcPr>
            <w:tcW w:w="1241" w:type="dxa"/>
          </w:tcPr>
          <w:p w14:paraId="0DA52369" w14:textId="3EDDF2C9" w:rsidR="4EF34651" w:rsidRDefault="5833D34A" w:rsidP="00BA0EA6">
            <w:pPr>
              <w:spacing w:before="60" w:after="60"/>
              <w:jc w:val="center"/>
              <w:rPr>
                <w:rFonts w:ascii="Calibri" w:eastAsia="Calibri" w:hAnsi="Calibri" w:cs="Calibri"/>
              </w:rPr>
            </w:pPr>
            <w:r w:rsidRPr="23843594">
              <w:rPr>
                <w:rFonts w:ascii="Calibri" w:eastAsia="Calibri" w:hAnsi="Calibri" w:cs="Calibri"/>
              </w:rPr>
              <w:t>86.22%</w:t>
            </w:r>
          </w:p>
        </w:tc>
        <w:tc>
          <w:tcPr>
            <w:tcW w:w="1241" w:type="dxa"/>
          </w:tcPr>
          <w:p w14:paraId="14313ACC" w14:textId="6A74E4A1" w:rsidR="4EF34651" w:rsidRDefault="5833D34A" w:rsidP="00BA0EA6">
            <w:pPr>
              <w:spacing w:before="60" w:after="60"/>
              <w:jc w:val="center"/>
              <w:rPr>
                <w:rFonts w:ascii="Calibri" w:eastAsia="Calibri" w:hAnsi="Calibri" w:cs="Calibri"/>
              </w:rPr>
            </w:pPr>
            <w:r w:rsidRPr="23843594">
              <w:rPr>
                <w:rFonts w:ascii="Calibri" w:eastAsia="Calibri" w:hAnsi="Calibri" w:cs="Calibri"/>
              </w:rPr>
              <w:t>87.11%</w:t>
            </w:r>
          </w:p>
        </w:tc>
        <w:tc>
          <w:tcPr>
            <w:tcW w:w="1241" w:type="dxa"/>
          </w:tcPr>
          <w:p w14:paraId="1649E5FD" w14:textId="20CFB7B5" w:rsidR="4EF34651" w:rsidRDefault="303BD099" w:rsidP="00BA0EA6">
            <w:pPr>
              <w:spacing w:before="60" w:after="60"/>
              <w:jc w:val="center"/>
              <w:rPr>
                <w:rFonts w:ascii="Calibri" w:eastAsia="Calibri" w:hAnsi="Calibri" w:cs="Calibri"/>
              </w:rPr>
            </w:pPr>
            <w:r w:rsidRPr="5F697387">
              <w:rPr>
                <w:rFonts w:ascii="Calibri" w:eastAsia="Calibri" w:hAnsi="Calibri" w:cs="Calibri"/>
              </w:rPr>
              <w:t>88</w:t>
            </w:r>
            <w:r w:rsidR="00BA0EA6">
              <w:rPr>
                <w:rFonts w:ascii="Calibri" w:eastAsia="Calibri" w:hAnsi="Calibri" w:cs="Calibri"/>
              </w:rPr>
              <w:t>.00</w:t>
            </w:r>
            <w:r w:rsidRPr="5F697387">
              <w:rPr>
                <w:rFonts w:ascii="Calibri" w:eastAsia="Calibri" w:hAnsi="Calibri" w:cs="Calibri"/>
              </w:rPr>
              <w:t>%</w:t>
            </w:r>
          </w:p>
        </w:tc>
      </w:tr>
    </w:tbl>
    <w:p w14:paraId="21091F42" w14:textId="7C2CA242" w:rsidR="28899E29" w:rsidRDefault="00EB1006" w:rsidP="00BA0EA6">
      <w:pPr>
        <w:spacing w:before="120" w:line="240" w:lineRule="auto"/>
        <w:rPr>
          <w:rFonts w:ascii="Calibri" w:eastAsia="Calibri" w:hAnsi="Calibri" w:cs="Calibri"/>
          <w:color w:val="000000" w:themeColor="text1"/>
          <w:sz w:val="24"/>
          <w:szCs w:val="24"/>
        </w:rPr>
      </w:pPr>
      <w:r w:rsidRPr="00EB1006">
        <w:rPr>
          <w:rFonts w:ascii="Calibri" w:eastAsia="Calibri" w:hAnsi="Calibri" w:cs="Calibri"/>
          <w:color w:val="000000" w:themeColor="text1"/>
          <w:sz w:val="24"/>
          <w:szCs w:val="24"/>
        </w:rPr>
        <w:t>Ví dụ B cho thấy sự tăng trưởng nhiều hơn.</w:t>
      </w:r>
    </w:p>
    <w:p w14:paraId="158DA73A" w14:textId="743D23C1" w:rsidR="00EB1006" w:rsidRPr="00EB1006" w:rsidRDefault="00EB1006" w:rsidP="00EB1006">
      <w:pPr>
        <w:spacing w:after="0" w:line="240" w:lineRule="auto"/>
        <w:jc w:val="center"/>
        <w:rPr>
          <w:rFonts w:ascii="Calibri" w:eastAsia="Calibri" w:hAnsi="Calibri" w:cs="Calibri"/>
          <w:b/>
          <w:color w:val="407641"/>
        </w:rPr>
      </w:pPr>
      <w:r w:rsidRPr="009479A9">
        <w:rPr>
          <w:rFonts w:ascii="Calibri" w:eastAsia="Calibri" w:hAnsi="Calibri" w:cs="Calibri"/>
          <w:b/>
          <w:color w:val="407641"/>
        </w:rPr>
        <w:t xml:space="preserve">Nếu </w:t>
      </w:r>
      <w:r w:rsidR="00C310E0">
        <w:rPr>
          <w:rFonts w:ascii="Calibri" w:eastAsia="Calibri" w:hAnsi="Calibri" w:cs="Calibri"/>
          <w:b/>
          <w:color w:val="407641"/>
        </w:rPr>
        <w:t>quý vị</w:t>
      </w:r>
      <w:r w:rsidRPr="009479A9">
        <w:rPr>
          <w:rFonts w:ascii="Calibri" w:eastAsia="Calibri" w:hAnsi="Calibri" w:cs="Calibri"/>
          <w:b/>
          <w:color w:val="407641"/>
        </w:rPr>
        <w:t xml:space="preserve"> cần thêm thông tin để </w:t>
      </w:r>
      <w:r>
        <w:rPr>
          <w:rFonts w:ascii="Calibri" w:eastAsia="Calibri" w:hAnsi="Calibri" w:cs="Calibri"/>
          <w:b/>
          <w:color w:val="407641"/>
        </w:rPr>
        <w:t>đóng góp ý kiến</w:t>
      </w:r>
      <w:r w:rsidRPr="009479A9">
        <w:rPr>
          <w:rFonts w:ascii="Calibri" w:eastAsia="Calibri" w:hAnsi="Calibri" w:cs="Calibri"/>
          <w:b/>
          <w:color w:val="407641"/>
        </w:rPr>
        <w:t>, vui lòng liên hệ:</w:t>
      </w:r>
    </w:p>
    <w:p w14:paraId="4EBEBB08" w14:textId="49399077" w:rsidR="28899E29" w:rsidRDefault="1BE5ED5B" w:rsidP="00216312">
      <w:pPr>
        <w:spacing w:after="0" w:line="240" w:lineRule="auto"/>
        <w:jc w:val="center"/>
        <w:rPr>
          <w:rFonts w:ascii="Calibri" w:eastAsia="Calibri" w:hAnsi="Calibri" w:cs="Calibri"/>
          <w:b/>
          <w:bCs/>
          <w:color w:val="000000" w:themeColor="text1"/>
        </w:rPr>
      </w:pPr>
      <w:r w:rsidRPr="0842A8EB">
        <w:rPr>
          <w:rFonts w:ascii="Calibri" w:eastAsia="Calibri" w:hAnsi="Calibri" w:cs="Calibri"/>
          <w:b/>
          <w:bCs/>
          <w:color w:val="407641"/>
        </w:rPr>
        <w:t xml:space="preserve">Brad Lenhardt, </w:t>
      </w:r>
      <w:r w:rsidR="00EB1006">
        <w:rPr>
          <w:rFonts w:ascii="Calibri" w:eastAsia="Calibri" w:hAnsi="Calibri" w:cs="Calibri"/>
          <w:b/>
          <w:bCs/>
          <w:color w:val="407641"/>
        </w:rPr>
        <w:t>Chuyên gia Giáo dục</w:t>
      </w:r>
      <w:r w:rsidRPr="0842A8EB">
        <w:rPr>
          <w:rFonts w:ascii="Calibri" w:eastAsia="Calibri" w:hAnsi="Calibri" w:cs="Calibri"/>
          <w:b/>
          <w:bCs/>
          <w:color w:val="407641"/>
        </w:rPr>
        <w:t xml:space="preserve">, </w:t>
      </w:r>
      <w:r w:rsidR="00EB1006">
        <w:rPr>
          <w:rFonts w:ascii="Calibri" w:eastAsia="Calibri" w:hAnsi="Calibri" w:cs="Calibri"/>
          <w:b/>
          <w:bCs/>
          <w:color w:val="407641"/>
        </w:rPr>
        <w:t>theo địa chỉ</w:t>
      </w:r>
      <w:r w:rsidR="00EB1006" w:rsidRPr="6DA97DB0">
        <w:rPr>
          <w:b/>
          <w:bCs/>
        </w:rPr>
        <w:t xml:space="preserve"> </w:t>
      </w:r>
      <w:hyperlink r:id="rId13">
        <w:r w:rsidRPr="0842A8EB">
          <w:rPr>
            <w:rStyle w:val="Hyperlink"/>
            <w:rFonts w:ascii="Calibri" w:eastAsia="Calibri" w:hAnsi="Calibri" w:cs="Calibri"/>
            <w:b/>
            <w:bCs/>
          </w:rPr>
          <w:t>brad.lenhardt@state.or.us</w:t>
        </w:r>
      </w:hyperlink>
    </w:p>
    <w:p w14:paraId="29E9259D" w14:textId="0441139D" w:rsidR="28899E29" w:rsidRDefault="28899E29" w:rsidP="00216312">
      <w:pPr>
        <w:spacing w:line="240" w:lineRule="auto"/>
        <w:rPr>
          <w:rFonts w:ascii="Calibri" w:eastAsia="Calibri" w:hAnsi="Calibri" w:cs="Calibri"/>
          <w:color w:val="000000" w:themeColor="text1"/>
          <w:sz w:val="24"/>
          <w:szCs w:val="24"/>
        </w:rPr>
      </w:pPr>
    </w:p>
    <w:p w14:paraId="18040AEF" w14:textId="6F97B68E" w:rsidR="28899E29" w:rsidRDefault="28899E29" w:rsidP="00216312">
      <w:pPr>
        <w:spacing w:line="240" w:lineRule="auto"/>
        <w:rPr>
          <w:rFonts w:ascii="Calibri" w:eastAsia="Calibri" w:hAnsi="Calibri" w:cs="Calibri"/>
          <w:color w:val="000000" w:themeColor="text1"/>
          <w:sz w:val="24"/>
          <w:szCs w:val="24"/>
        </w:rPr>
      </w:pPr>
    </w:p>
    <w:p w14:paraId="7DCA4996" w14:textId="05499B2B" w:rsidR="4EF34651" w:rsidRDefault="4EF34651" w:rsidP="00216312">
      <w:pPr>
        <w:spacing w:line="240" w:lineRule="auto"/>
        <w:rPr>
          <w:rFonts w:ascii="Calibri" w:eastAsia="Calibri" w:hAnsi="Calibri" w:cs="Calibri"/>
          <w:color w:val="408740"/>
          <w:sz w:val="24"/>
          <w:szCs w:val="24"/>
        </w:rPr>
      </w:pPr>
    </w:p>
    <w:p w14:paraId="786E1907" w14:textId="1AD9CA99" w:rsidR="4EF34651" w:rsidRDefault="4EF34651" w:rsidP="00216312">
      <w:pPr>
        <w:spacing w:line="240" w:lineRule="auto"/>
        <w:rPr>
          <w:color w:val="000000" w:themeColor="text1"/>
          <w:sz w:val="24"/>
          <w:szCs w:val="24"/>
        </w:rPr>
      </w:pPr>
    </w:p>
    <w:sectPr w:rsidR="4EF34651">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ADC5" w14:textId="77777777" w:rsidR="001341AE" w:rsidRDefault="001341AE" w:rsidP="00A015AF">
      <w:pPr>
        <w:spacing w:after="0" w:line="240" w:lineRule="auto"/>
      </w:pPr>
      <w:r>
        <w:separator/>
      </w:r>
    </w:p>
  </w:endnote>
  <w:endnote w:type="continuationSeparator" w:id="0">
    <w:p w14:paraId="092CDFA5" w14:textId="77777777" w:rsidR="001341AE" w:rsidRDefault="001341AE" w:rsidP="00A015AF">
      <w:pPr>
        <w:spacing w:after="0" w:line="240" w:lineRule="auto"/>
      </w:pPr>
      <w:r>
        <w:continuationSeparator/>
      </w:r>
    </w:p>
  </w:endnote>
  <w:endnote w:type="continuationNotice" w:id="1">
    <w:p w14:paraId="393DA783" w14:textId="77777777" w:rsidR="001341AE" w:rsidRDefault="00134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B13F" w14:textId="7CF0C62F" w:rsidR="4EF34651" w:rsidRDefault="00D377CF" w:rsidP="4EF34651">
    <w:pPr>
      <w:pStyle w:val="Footer"/>
    </w:pPr>
    <w:bookmarkStart w:id="2" w:name="_Hlk90010702"/>
    <w:r>
      <w:t xml:space="preserve">Tờ </w:t>
    </w:r>
    <w:r w:rsidR="008B2F86">
      <w:t>d</w:t>
    </w:r>
    <w:r>
      <w:t>ữ kiện Kế hoạch thực hiện của Tiểu bang</w:t>
    </w:r>
    <w:bookmarkEnd w:id="2"/>
    <w:r>
      <w:t xml:space="preserve"> </w:t>
    </w:r>
    <w:r w:rsidR="00DF018D">
      <w:t xml:space="preserve">– Chỉ số </w:t>
    </w:r>
    <w:r w:rsidR="0026318B">
      <w:t>B8</w:t>
    </w:r>
    <w:r w:rsidR="0026318B">
      <w:tab/>
    </w:r>
    <w:r w:rsidR="0026318B">
      <w:fldChar w:fldCharType="begin"/>
    </w:r>
    <w:r w:rsidR="0026318B">
      <w:instrText xml:space="preserve"> PAGE   \* MERGEFORMAT </w:instrText>
    </w:r>
    <w:r w:rsidR="0026318B">
      <w:fldChar w:fldCharType="separate"/>
    </w:r>
    <w:r w:rsidR="00756A3A">
      <w:rPr>
        <w:noProof/>
      </w:rPr>
      <w:t>3</w:t>
    </w:r>
    <w:r w:rsidR="002631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E807" w14:textId="77777777" w:rsidR="001341AE" w:rsidRDefault="001341AE" w:rsidP="00A015AF">
      <w:pPr>
        <w:spacing w:after="0" w:line="240" w:lineRule="auto"/>
      </w:pPr>
      <w:r>
        <w:separator/>
      </w:r>
    </w:p>
  </w:footnote>
  <w:footnote w:type="continuationSeparator" w:id="0">
    <w:p w14:paraId="0EE0ADA3" w14:textId="77777777" w:rsidR="001341AE" w:rsidRDefault="001341AE" w:rsidP="00A015AF">
      <w:pPr>
        <w:spacing w:after="0" w:line="240" w:lineRule="auto"/>
      </w:pPr>
      <w:r>
        <w:continuationSeparator/>
      </w:r>
    </w:p>
  </w:footnote>
  <w:footnote w:type="continuationNotice" w:id="1">
    <w:p w14:paraId="1B2BB0FC" w14:textId="77777777" w:rsidR="001341AE" w:rsidRDefault="001341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A905847"/>
    <w:multiLevelType w:val="hybridMultilevel"/>
    <w:tmpl w:val="AB7A1CB6"/>
    <w:lvl w:ilvl="0" w:tplc="FCC84FE0">
      <w:start w:val="1"/>
      <w:numFmt w:val="bullet"/>
      <w:lvlText w:val=""/>
      <w:lvlJc w:val="left"/>
      <w:pPr>
        <w:ind w:left="720" w:hanging="360"/>
      </w:pPr>
      <w:rPr>
        <w:rFonts w:ascii="Symbol" w:hAnsi="Symbol" w:hint="default"/>
      </w:rPr>
    </w:lvl>
    <w:lvl w:ilvl="1" w:tplc="CDB65870">
      <w:start w:val="1"/>
      <w:numFmt w:val="bullet"/>
      <w:lvlText w:val="o"/>
      <w:lvlJc w:val="left"/>
      <w:pPr>
        <w:ind w:left="1440" w:hanging="360"/>
      </w:pPr>
      <w:rPr>
        <w:rFonts w:ascii="Courier New" w:hAnsi="Courier New" w:hint="default"/>
      </w:rPr>
    </w:lvl>
    <w:lvl w:ilvl="2" w:tplc="4D3A1242">
      <w:start w:val="1"/>
      <w:numFmt w:val="bullet"/>
      <w:lvlText w:val=""/>
      <w:lvlJc w:val="left"/>
      <w:pPr>
        <w:ind w:left="2160" w:hanging="360"/>
      </w:pPr>
      <w:rPr>
        <w:rFonts w:ascii="Wingdings" w:hAnsi="Wingdings" w:hint="default"/>
      </w:rPr>
    </w:lvl>
    <w:lvl w:ilvl="3" w:tplc="BCEC5880">
      <w:start w:val="1"/>
      <w:numFmt w:val="bullet"/>
      <w:lvlText w:val=""/>
      <w:lvlJc w:val="left"/>
      <w:pPr>
        <w:ind w:left="2880" w:hanging="360"/>
      </w:pPr>
      <w:rPr>
        <w:rFonts w:ascii="Symbol" w:hAnsi="Symbol" w:hint="default"/>
      </w:rPr>
    </w:lvl>
    <w:lvl w:ilvl="4" w:tplc="BB369204">
      <w:start w:val="1"/>
      <w:numFmt w:val="bullet"/>
      <w:lvlText w:val="o"/>
      <w:lvlJc w:val="left"/>
      <w:pPr>
        <w:ind w:left="3600" w:hanging="360"/>
      </w:pPr>
      <w:rPr>
        <w:rFonts w:ascii="Courier New" w:hAnsi="Courier New" w:hint="default"/>
      </w:rPr>
    </w:lvl>
    <w:lvl w:ilvl="5" w:tplc="0AB641E8">
      <w:start w:val="1"/>
      <w:numFmt w:val="bullet"/>
      <w:lvlText w:val=""/>
      <w:lvlJc w:val="left"/>
      <w:pPr>
        <w:ind w:left="4320" w:hanging="360"/>
      </w:pPr>
      <w:rPr>
        <w:rFonts w:ascii="Wingdings" w:hAnsi="Wingdings" w:hint="default"/>
      </w:rPr>
    </w:lvl>
    <w:lvl w:ilvl="6" w:tplc="B20A9C74">
      <w:start w:val="1"/>
      <w:numFmt w:val="bullet"/>
      <w:lvlText w:val=""/>
      <w:lvlJc w:val="left"/>
      <w:pPr>
        <w:ind w:left="5040" w:hanging="360"/>
      </w:pPr>
      <w:rPr>
        <w:rFonts w:ascii="Symbol" w:hAnsi="Symbol" w:hint="default"/>
      </w:rPr>
    </w:lvl>
    <w:lvl w:ilvl="7" w:tplc="AFB43FE8">
      <w:start w:val="1"/>
      <w:numFmt w:val="bullet"/>
      <w:lvlText w:val="o"/>
      <w:lvlJc w:val="left"/>
      <w:pPr>
        <w:ind w:left="5760" w:hanging="360"/>
      </w:pPr>
      <w:rPr>
        <w:rFonts w:ascii="Courier New" w:hAnsi="Courier New" w:hint="default"/>
      </w:rPr>
    </w:lvl>
    <w:lvl w:ilvl="8" w:tplc="15140306">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83787"/>
    <w:rsid w:val="000B7B51"/>
    <w:rsid w:val="000E1261"/>
    <w:rsid w:val="000E4FA0"/>
    <w:rsid w:val="001341AE"/>
    <w:rsid w:val="001A4D20"/>
    <w:rsid w:val="001B52CA"/>
    <w:rsid w:val="00216312"/>
    <w:rsid w:val="00237DA3"/>
    <w:rsid w:val="0026318B"/>
    <w:rsid w:val="0026797A"/>
    <w:rsid w:val="0027587A"/>
    <w:rsid w:val="002957DF"/>
    <w:rsid w:val="002A100A"/>
    <w:rsid w:val="002D66CC"/>
    <w:rsid w:val="002D7790"/>
    <w:rsid w:val="00300812"/>
    <w:rsid w:val="00300F93"/>
    <w:rsid w:val="00322178"/>
    <w:rsid w:val="00327EB0"/>
    <w:rsid w:val="00352793"/>
    <w:rsid w:val="00356BE5"/>
    <w:rsid w:val="00373050"/>
    <w:rsid w:val="00472F13"/>
    <w:rsid w:val="00480DD7"/>
    <w:rsid w:val="004815E2"/>
    <w:rsid w:val="00496DD9"/>
    <w:rsid w:val="00506FC3"/>
    <w:rsid w:val="00536341"/>
    <w:rsid w:val="005464EB"/>
    <w:rsid w:val="00551272"/>
    <w:rsid w:val="005A6E45"/>
    <w:rsid w:val="005D6523"/>
    <w:rsid w:val="006231FB"/>
    <w:rsid w:val="0065487F"/>
    <w:rsid w:val="00665A1E"/>
    <w:rsid w:val="00686AA4"/>
    <w:rsid w:val="006B3525"/>
    <w:rsid w:val="007275DC"/>
    <w:rsid w:val="00756A3A"/>
    <w:rsid w:val="00770DA0"/>
    <w:rsid w:val="00780D5E"/>
    <w:rsid w:val="007911BE"/>
    <w:rsid w:val="00800077"/>
    <w:rsid w:val="008707C4"/>
    <w:rsid w:val="00872B58"/>
    <w:rsid w:val="00872BA4"/>
    <w:rsid w:val="008B2F86"/>
    <w:rsid w:val="00963CE4"/>
    <w:rsid w:val="00976053"/>
    <w:rsid w:val="00976EA9"/>
    <w:rsid w:val="00980D00"/>
    <w:rsid w:val="009A23AC"/>
    <w:rsid w:val="009B3C83"/>
    <w:rsid w:val="009C5702"/>
    <w:rsid w:val="009D4FF3"/>
    <w:rsid w:val="009D6766"/>
    <w:rsid w:val="00A015AF"/>
    <w:rsid w:val="00A106D4"/>
    <w:rsid w:val="00A42905"/>
    <w:rsid w:val="00AC06C8"/>
    <w:rsid w:val="00AC5AB7"/>
    <w:rsid w:val="00AD794D"/>
    <w:rsid w:val="00B14BBE"/>
    <w:rsid w:val="00B51C91"/>
    <w:rsid w:val="00B542E4"/>
    <w:rsid w:val="00B77D28"/>
    <w:rsid w:val="00B87EF5"/>
    <w:rsid w:val="00B9167F"/>
    <w:rsid w:val="00BA0EA6"/>
    <w:rsid w:val="00BB0B34"/>
    <w:rsid w:val="00C06C4E"/>
    <w:rsid w:val="00C310E0"/>
    <w:rsid w:val="00C41661"/>
    <w:rsid w:val="00C43BD2"/>
    <w:rsid w:val="00C53B82"/>
    <w:rsid w:val="00C63CE5"/>
    <w:rsid w:val="00CA1A38"/>
    <w:rsid w:val="00CA3BE5"/>
    <w:rsid w:val="00CD2C98"/>
    <w:rsid w:val="00CD6A16"/>
    <w:rsid w:val="00D330A6"/>
    <w:rsid w:val="00D377CF"/>
    <w:rsid w:val="00DB37A5"/>
    <w:rsid w:val="00DB63DC"/>
    <w:rsid w:val="00DC5156"/>
    <w:rsid w:val="00DF018D"/>
    <w:rsid w:val="00E14876"/>
    <w:rsid w:val="00E18309"/>
    <w:rsid w:val="00E30FFD"/>
    <w:rsid w:val="00E441BE"/>
    <w:rsid w:val="00EB1006"/>
    <w:rsid w:val="00EC1479"/>
    <w:rsid w:val="00EC75DD"/>
    <w:rsid w:val="00F4744A"/>
    <w:rsid w:val="00FB5DC0"/>
    <w:rsid w:val="00FC0AA2"/>
    <w:rsid w:val="01B34A81"/>
    <w:rsid w:val="023DF421"/>
    <w:rsid w:val="035723B7"/>
    <w:rsid w:val="03CE31FA"/>
    <w:rsid w:val="05854BB8"/>
    <w:rsid w:val="07DC10C2"/>
    <w:rsid w:val="0842A8EB"/>
    <w:rsid w:val="09156CEF"/>
    <w:rsid w:val="09335D90"/>
    <w:rsid w:val="0A003D7F"/>
    <w:rsid w:val="0A27EFDB"/>
    <w:rsid w:val="0A465528"/>
    <w:rsid w:val="0A755672"/>
    <w:rsid w:val="0B773283"/>
    <w:rsid w:val="0B8E293D"/>
    <w:rsid w:val="0C322520"/>
    <w:rsid w:val="0CD70CBB"/>
    <w:rsid w:val="0E5DC7DB"/>
    <w:rsid w:val="0E9497F5"/>
    <w:rsid w:val="0ECBA6C1"/>
    <w:rsid w:val="0EFEDBEB"/>
    <w:rsid w:val="0F9F9E71"/>
    <w:rsid w:val="118102CB"/>
    <w:rsid w:val="11FF5668"/>
    <w:rsid w:val="1251594E"/>
    <w:rsid w:val="13016201"/>
    <w:rsid w:val="1304DF78"/>
    <w:rsid w:val="174802E7"/>
    <w:rsid w:val="1B867661"/>
    <w:rsid w:val="1BE5ED5B"/>
    <w:rsid w:val="1E12FAA8"/>
    <w:rsid w:val="1E2A045C"/>
    <w:rsid w:val="1E4AC4F9"/>
    <w:rsid w:val="1F639FB2"/>
    <w:rsid w:val="21966300"/>
    <w:rsid w:val="23843594"/>
    <w:rsid w:val="23B82283"/>
    <w:rsid w:val="24993E0C"/>
    <w:rsid w:val="251E9D73"/>
    <w:rsid w:val="2613C8E8"/>
    <w:rsid w:val="281588D1"/>
    <w:rsid w:val="2822FAC6"/>
    <w:rsid w:val="28899E29"/>
    <w:rsid w:val="296292F5"/>
    <w:rsid w:val="2AC75235"/>
    <w:rsid w:val="2AE73A0B"/>
    <w:rsid w:val="2C76AA7E"/>
    <w:rsid w:val="2E22D4A8"/>
    <w:rsid w:val="303BD099"/>
    <w:rsid w:val="30C0F80C"/>
    <w:rsid w:val="321CF482"/>
    <w:rsid w:val="326E5401"/>
    <w:rsid w:val="3272F914"/>
    <w:rsid w:val="328E971D"/>
    <w:rsid w:val="32B1B4D3"/>
    <w:rsid w:val="331B23F1"/>
    <w:rsid w:val="331CD1C5"/>
    <w:rsid w:val="37839F2D"/>
    <w:rsid w:val="38171751"/>
    <w:rsid w:val="3A6CB028"/>
    <w:rsid w:val="3B4E0939"/>
    <w:rsid w:val="3B5B6A74"/>
    <w:rsid w:val="3B83BDAA"/>
    <w:rsid w:val="3B94306C"/>
    <w:rsid w:val="3C0C80C7"/>
    <w:rsid w:val="3C1E556C"/>
    <w:rsid w:val="3D8A0189"/>
    <w:rsid w:val="3E061AEA"/>
    <w:rsid w:val="3E64F3E0"/>
    <w:rsid w:val="3E74A9E2"/>
    <w:rsid w:val="3EA2E964"/>
    <w:rsid w:val="3EA8BBDF"/>
    <w:rsid w:val="3F30FB77"/>
    <w:rsid w:val="40BAAC27"/>
    <w:rsid w:val="419A321F"/>
    <w:rsid w:val="41C161C9"/>
    <w:rsid w:val="41DAB5CE"/>
    <w:rsid w:val="428E0291"/>
    <w:rsid w:val="42954A25"/>
    <w:rsid w:val="43360280"/>
    <w:rsid w:val="433DFD85"/>
    <w:rsid w:val="43A07F1A"/>
    <w:rsid w:val="4694D2EC"/>
    <w:rsid w:val="476173B4"/>
    <w:rsid w:val="48BEA9FF"/>
    <w:rsid w:val="493A0E29"/>
    <w:rsid w:val="496069B2"/>
    <w:rsid w:val="49DAC684"/>
    <w:rsid w:val="4A9B697A"/>
    <w:rsid w:val="4AB86F41"/>
    <w:rsid w:val="4AF85F99"/>
    <w:rsid w:val="4B7778E9"/>
    <w:rsid w:val="4C19DA7D"/>
    <w:rsid w:val="4C84EECC"/>
    <w:rsid w:val="4CA9B4C5"/>
    <w:rsid w:val="4D5775F0"/>
    <w:rsid w:val="4DC154A7"/>
    <w:rsid w:val="4DC759FD"/>
    <w:rsid w:val="4EF34651"/>
    <w:rsid w:val="5179A574"/>
    <w:rsid w:val="5239EBB3"/>
    <w:rsid w:val="5248B67F"/>
    <w:rsid w:val="52BF22C0"/>
    <w:rsid w:val="53B71034"/>
    <w:rsid w:val="54B0F1B5"/>
    <w:rsid w:val="56277CA2"/>
    <w:rsid w:val="56CADF76"/>
    <w:rsid w:val="56FF2CED"/>
    <w:rsid w:val="57AE517E"/>
    <w:rsid w:val="5833D34A"/>
    <w:rsid w:val="583BF190"/>
    <w:rsid w:val="59405C85"/>
    <w:rsid w:val="59AE5D10"/>
    <w:rsid w:val="5ADC2CE6"/>
    <w:rsid w:val="5BB66BB1"/>
    <w:rsid w:val="5E4C9A5B"/>
    <w:rsid w:val="5EF4CF3D"/>
    <w:rsid w:val="5F697387"/>
    <w:rsid w:val="6002AB7F"/>
    <w:rsid w:val="6010CC80"/>
    <w:rsid w:val="6039AA92"/>
    <w:rsid w:val="60B93623"/>
    <w:rsid w:val="6135418B"/>
    <w:rsid w:val="6444DFAF"/>
    <w:rsid w:val="6481A9C3"/>
    <w:rsid w:val="64A1AFB5"/>
    <w:rsid w:val="6551DB58"/>
    <w:rsid w:val="65943897"/>
    <w:rsid w:val="65DFD2A5"/>
    <w:rsid w:val="65E9D2E5"/>
    <w:rsid w:val="679414DE"/>
    <w:rsid w:val="679AC553"/>
    <w:rsid w:val="67A7E7A3"/>
    <w:rsid w:val="67D8F31E"/>
    <w:rsid w:val="6A251BCC"/>
    <w:rsid w:val="6A47138C"/>
    <w:rsid w:val="6B13B68E"/>
    <w:rsid w:val="6B5ECC4A"/>
    <w:rsid w:val="6C062D4C"/>
    <w:rsid w:val="6C35AE81"/>
    <w:rsid w:val="6CAAC3D7"/>
    <w:rsid w:val="6CABE536"/>
    <w:rsid w:val="6CBDC2CC"/>
    <w:rsid w:val="6CD2B94E"/>
    <w:rsid w:val="6D1B4991"/>
    <w:rsid w:val="6F1A4FEC"/>
    <w:rsid w:val="6FE74388"/>
    <w:rsid w:val="70622CEC"/>
    <w:rsid w:val="709A212A"/>
    <w:rsid w:val="70C371B8"/>
    <w:rsid w:val="714C44E1"/>
    <w:rsid w:val="725F4219"/>
    <w:rsid w:val="73B2F60B"/>
    <w:rsid w:val="745F0940"/>
    <w:rsid w:val="7610226C"/>
    <w:rsid w:val="767D19AB"/>
    <w:rsid w:val="78D67123"/>
    <w:rsid w:val="78FFF39E"/>
    <w:rsid w:val="79153EC0"/>
    <w:rsid w:val="7A0030B2"/>
    <w:rsid w:val="7A84CB6F"/>
    <w:rsid w:val="7BE52A1B"/>
    <w:rsid w:val="7CC1215A"/>
    <w:rsid w:val="7D3AE327"/>
    <w:rsid w:val="7D5128D7"/>
    <w:rsid w:val="7D7C76F4"/>
    <w:rsid w:val="7DA9E246"/>
    <w:rsid w:val="7DC3ED2D"/>
    <w:rsid w:val="7DF0AAE8"/>
    <w:rsid w:val="7E99B18E"/>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ad.lenhardt@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Dữ</a:t>
            </a:r>
            <a:r>
              <a:rPr lang="en-US" b="1" baseline="0">
                <a:solidFill>
                  <a:srgbClr val="1B75BC"/>
                </a:solidFill>
              </a:rPr>
              <a:t> liệu Chỉ số B8 (Sự tham gia của Phụ huynh) của Oregon</a:t>
            </a:r>
            <a:endParaRPr lang="en-US" b="1">
              <a:solidFill>
                <a:srgbClr val="1B75BC"/>
              </a:solidFill>
            </a:endParaRPr>
          </a:p>
          <a:p>
            <a:pPr>
              <a:defRPr/>
            </a:pPr>
            <a:r>
              <a:rPr lang="en-US" b="1" baseline="0">
                <a:solidFill>
                  <a:srgbClr val="1B75BC"/>
                </a:solidFill>
              </a:rPr>
              <a:t>Mầm non</a:t>
            </a:r>
            <a:endParaRPr lang="en-US"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'B8-EC'!$A$2</c:f>
              <c:strCache>
                <c:ptCount val="1"/>
                <c:pt idx="0">
                  <c:v>Data</c:v>
                </c:pt>
              </c:strCache>
            </c:strRef>
          </c:tx>
          <c:spPr>
            <a:ln w="28575" cap="rnd">
              <a:solidFill>
                <a:srgbClr val="1B75BC"/>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7C-4DC8-AEA6-C86F2FCA35DD}"/>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7C-4DC8-AEA6-C86F2FCA35DD}"/>
                </c:ext>
              </c:extLst>
            </c:dLbl>
            <c:dLbl>
              <c:idx val="3"/>
              <c:layout>
                <c:manualLayout>
                  <c:x val="-4.0409745074698314E-2"/>
                  <c:y val="-5.86365842551202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57C-4DC8-AEA6-C86F2FCA35DD}"/>
                </c:ext>
              </c:extLst>
            </c:dLbl>
            <c:dLbl>
              <c:idx val="4"/>
              <c:layout>
                <c:manualLayout>
                  <c:x val="-3.6363210565087394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7C-4DC8-AEA6-C86F2FCA35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'B8-EC'!$B$2:$G$2</c:f>
              <c:numCache>
                <c:formatCode>0.00%</c:formatCode>
                <c:ptCount val="6"/>
                <c:pt idx="0">
                  <c:v>0.82179999999999997</c:v>
                </c:pt>
                <c:pt idx="1">
                  <c:v>0.81159999999999999</c:v>
                </c:pt>
                <c:pt idx="2">
                  <c:v>0.86229999999999996</c:v>
                </c:pt>
                <c:pt idx="3">
                  <c:v>0.79369999999999996</c:v>
                </c:pt>
                <c:pt idx="4">
                  <c:v>0.84589999999999999</c:v>
                </c:pt>
                <c:pt idx="5">
                  <c:v>0.88790000000000002</c:v>
                </c:pt>
              </c:numCache>
            </c:numRef>
          </c:val>
          <c:smooth val="0"/>
          <c:extLst>
            <c:ext xmlns:c16="http://schemas.microsoft.com/office/drawing/2014/chart" uri="{C3380CC4-5D6E-409C-BE32-E72D297353CC}">
              <c16:uniqueId val="{00000004-257C-4DC8-AEA6-C86F2FCA35DD}"/>
            </c:ext>
          </c:extLst>
        </c:ser>
        <c:ser>
          <c:idx val="1"/>
          <c:order val="1"/>
          <c:tx>
            <c:strRef>
              <c:f>'B8-EC'!$A$3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4.59532754894558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7C-4DC8-AEA6-C86F2FCA35D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'B8-EC'!$B$3:$G$3</c:f>
              <c:numCache>
                <c:formatCode>0.00%</c:formatCode>
                <c:ptCount val="6"/>
                <c:pt idx="0">
                  <c:v>0.82179999999999997</c:v>
                </c:pt>
                <c:pt idx="1">
                  <c:v>0.82479999999999998</c:v>
                </c:pt>
                <c:pt idx="2">
                  <c:v>0.82679999999999998</c:v>
                </c:pt>
                <c:pt idx="3">
                  <c:v>0.83679999999999999</c:v>
                </c:pt>
                <c:pt idx="4">
                  <c:v>0.85680000000000001</c:v>
                </c:pt>
                <c:pt idx="5">
                  <c:v>0.85680000000000001</c:v>
                </c:pt>
              </c:numCache>
            </c:numRef>
          </c:val>
          <c:smooth val="0"/>
          <c:extLst>
            <c:ext xmlns:c16="http://schemas.microsoft.com/office/drawing/2014/chart" uri="{C3380CC4-5D6E-409C-BE32-E72D297353CC}">
              <c16:uniqueId val="{00000006-257C-4DC8-AEA6-C86F2FCA35DD}"/>
            </c:ext>
          </c:extLst>
        </c:ser>
        <c:dLbls>
          <c:dLblPos val="t"/>
          <c:showLegendKey val="0"/>
          <c:showVal val="1"/>
          <c:showCatName val="0"/>
          <c:showSerName val="0"/>
          <c:showPercent val="0"/>
          <c:showBubbleSize val="0"/>
        </c:dLbls>
        <c:smooth val="0"/>
        <c:axId val="345146416"/>
        <c:axId val="345149680"/>
      </c:lineChart>
      <c:catAx>
        <c:axId val="34514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149680"/>
        <c:crosses val="autoZero"/>
        <c:auto val="1"/>
        <c:lblAlgn val="ctr"/>
        <c:lblOffset val="100"/>
        <c:noMultiLvlLbl val="0"/>
      </c:catAx>
      <c:valAx>
        <c:axId val="345149680"/>
        <c:scaling>
          <c:orientation val="minMax"/>
          <c:max val="0.95000000000000007"/>
          <c:min val="0.75000000000000011"/>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146416"/>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Dữ liệu Chỉ số B8 (Sự tham gia của Phụ huynh) của Oregon</a:t>
            </a:r>
          </a:p>
          <a:p>
            <a:pPr>
              <a:defRPr/>
            </a:pPr>
            <a:r>
              <a:rPr lang="en-US" b="1">
                <a:solidFill>
                  <a:srgbClr val="1B75BC"/>
                </a:solidFill>
              </a:rPr>
              <a:t>Tuổi</a:t>
            </a:r>
            <a:r>
              <a:rPr lang="en-US" b="1" baseline="0">
                <a:solidFill>
                  <a:srgbClr val="1B75BC"/>
                </a:solidFill>
              </a:rPr>
              <a:t> đến trường</a:t>
            </a:r>
            <a:endParaRPr lang="en-US"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'B8-SA'!$A$2</c:f>
              <c:strCache>
                <c:ptCount val="1"/>
                <c:pt idx="0">
                  <c:v>Data</c:v>
                </c:pt>
              </c:strCache>
            </c:strRef>
          </c:tx>
          <c:spPr>
            <a:ln w="28575" cap="rnd">
              <a:solidFill>
                <a:srgbClr val="1B75BC"/>
              </a:solidFill>
              <a:round/>
            </a:ln>
            <a:effectLst/>
          </c:spPr>
          <c:marker>
            <c:symbol val="none"/>
          </c:marker>
          <c:dLbls>
            <c:dLbl>
              <c:idx val="4"/>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87-42D1-9D01-11F97A7D1E9C}"/>
                </c:ext>
              </c:extLst>
            </c:dLbl>
            <c:dLbl>
              <c:idx val="5"/>
              <c:layout>
                <c:manualLayout>
                  <c:x val="-4.2433012329503889E-2"/>
                  <c:y val="-3.00991395323753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87-42D1-9D01-11F97A7D1E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'B8-SA'!$B$1:$G$1</c:f>
              <c:numCache>
                <c:formatCode>General</c:formatCode>
                <c:ptCount val="6"/>
                <c:pt idx="0">
                  <c:v>2014</c:v>
                </c:pt>
                <c:pt idx="1">
                  <c:v>2015</c:v>
                </c:pt>
                <c:pt idx="2">
                  <c:v>2016</c:v>
                </c:pt>
                <c:pt idx="3">
                  <c:v>2017</c:v>
                </c:pt>
                <c:pt idx="4">
                  <c:v>2018</c:v>
                </c:pt>
                <c:pt idx="5">
                  <c:v>2019</c:v>
                </c:pt>
              </c:numCache>
            </c:numRef>
          </c:cat>
          <c:val>
            <c:numRef>
              <c:f>'B8-SA'!$B$2:$G$2</c:f>
              <c:numCache>
                <c:formatCode>0.00%</c:formatCode>
                <c:ptCount val="6"/>
                <c:pt idx="0">
                  <c:v>0.76229999999999998</c:v>
                </c:pt>
                <c:pt idx="1">
                  <c:v>0.78120000000000001</c:v>
                </c:pt>
                <c:pt idx="2">
                  <c:v>0.78739999999999999</c:v>
                </c:pt>
                <c:pt idx="3">
                  <c:v>0.79430000000000001</c:v>
                </c:pt>
                <c:pt idx="4">
                  <c:v>0.78979999999999995</c:v>
                </c:pt>
                <c:pt idx="5">
                  <c:v>0.83540000000000003</c:v>
                </c:pt>
              </c:numCache>
            </c:numRef>
          </c:val>
          <c:smooth val="0"/>
          <c:extLst>
            <c:ext xmlns:c16="http://schemas.microsoft.com/office/drawing/2014/chart" uri="{C3380CC4-5D6E-409C-BE32-E72D297353CC}">
              <c16:uniqueId val="{00000002-1F87-42D1-9D01-11F97A7D1E9C}"/>
            </c:ext>
          </c:extLst>
        </c:ser>
        <c:ser>
          <c:idx val="1"/>
          <c:order val="1"/>
          <c:tx>
            <c:strRef>
              <c:f>'B8-SA'!$A$3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F87-42D1-9D01-11F97A7D1E9C}"/>
                </c:ext>
              </c:extLst>
            </c:dLbl>
            <c:dLbl>
              <c:idx val="1"/>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F87-42D1-9D01-11F97A7D1E9C}"/>
                </c:ext>
              </c:extLst>
            </c:dLbl>
            <c:dLbl>
              <c:idx val="2"/>
              <c:layout>
                <c:manualLayout>
                  <c:x val="-4.4456279584309387E-2"/>
                  <c:y val="3.96590586787786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F87-42D1-9D01-11F97A7D1E9C}"/>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87-42D1-9D01-11F97A7D1E9C}"/>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87-42D1-9D01-11F97A7D1E9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'B8-SA'!$B$1:$G$1</c:f>
              <c:numCache>
                <c:formatCode>General</c:formatCode>
                <c:ptCount val="6"/>
                <c:pt idx="0">
                  <c:v>2014</c:v>
                </c:pt>
                <c:pt idx="1">
                  <c:v>2015</c:v>
                </c:pt>
                <c:pt idx="2">
                  <c:v>2016</c:v>
                </c:pt>
                <c:pt idx="3">
                  <c:v>2017</c:v>
                </c:pt>
                <c:pt idx="4">
                  <c:v>2018</c:v>
                </c:pt>
                <c:pt idx="5">
                  <c:v>2019</c:v>
                </c:pt>
              </c:numCache>
            </c:numRef>
          </c:cat>
          <c:val>
            <c:numRef>
              <c:f>'B8-SA'!$B$3:$G$3</c:f>
              <c:numCache>
                <c:formatCode>0.00%</c:formatCode>
                <c:ptCount val="6"/>
                <c:pt idx="0">
                  <c:v>0.76229999999999998</c:v>
                </c:pt>
                <c:pt idx="1">
                  <c:v>0.76729999999999998</c:v>
                </c:pt>
                <c:pt idx="2">
                  <c:v>0.77729999999999999</c:v>
                </c:pt>
                <c:pt idx="3">
                  <c:v>0.7873</c:v>
                </c:pt>
                <c:pt idx="4">
                  <c:v>0.81230000000000002</c:v>
                </c:pt>
                <c:pt idx="5">
                  <c:v>0.81230000000000002</c:v>
                </c:pt>
              </c:numCache>
            </c:numRef>
          </c:val>
          <c:smooth val="0"/>
          <c:extLst>
            <c:ext xmlns:c16="http://schemas.microsoft.com/office/drawing/2014/chart" uri="{C3380CC4-5D6E-409C-BE32-E72D297353CC}">
              <c16:uniqueId val="{00000008-1F87-42D1-9D01-11F97A7D1E9C}"/>
            </c:ext>
          </c:extLst>
        </c:ser>
        <c:dLbls>
          <c:dLblPos val="t"/>
          <c:showLegendKey val="0"/>
          <c:showVal val="1"/>
          <c:showCatName val="0"/>
          <c:showSerName val="0"/>
          <c:showPercent val="0"/>
          <c:showBubbleSize val="0"/>
        </c:dLbls>
        <c:smooth val="0"/>
        <c:axId val="345145872"/>
        <c:axId val="345148048"/>
      </c:lineChart>
      <c:catAx>
        <c:axId val="34514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148048"/>
        <c:crosses val="autoZero"/>
        <c:auto val="1"/>
        <c:lblAlgn val="ctr"/>
        <c:lblOffset val="100"/>
        <c:noMultiLvlLbl val="0"/>
      </c:catAx>
      <c:valAx>
        <c:axId val="345148048"/>
        <c:scaling>
          <c:orientation val="minMax"/>
          <c:max val="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145872"/>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2021-12-17T00:32:04+00:00</Remediation_x0020_Date>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B269E1F5-EFDA-4B50-B94D-238330758E43}"/>
</file>

<file path=customXml/itemProps3.xml><?xml version="1.0" encoding="utf-8"?>
<ds:datastoreItem xmlns:ds="http://schemas.openxmlformats.org/officeDocument/2006/customXml" ds:itemID="{85CC21F9-4EE9-4382-8358-CB255CA6644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7f305cf4-7e8c-42e6-816c-ef6b646f0ad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2021-12-15T22:40:00Z</dcterms:created>
  <dcterms:modified xsi:type="dcterms:W3CDTF">2021-12-15T22:40:00Z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