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11FF5668" w:rsidRPr="00C66D0B" w14:paraId="1F423159" w14:textId="77777777" w:rsidTr="005C4B18">
        <w:trPr>
          <w:tblHeader/>
        </w:trPr>
        <w:tc>
          <w:tcPr>
            <w:tcW w:w="2160" w:type="dxa"/>
            <w:vAlign w:val="center"/>
          </w:tcPr>
          <w:p w14:paraId="737313A0" w14:textId="77777777" w:rsidR="11FF5668" w:rsidRDefault="11FF5668" w:rsidP="00216312">
            <w:pPr>
              <w:jc w:val="center"/>
              <w:rPr>
                <w:rFonts w:eastAsia="Arial"/>
                <w:b/>
                <w:bCs/>
                <w:color w:val="082A75"/>
                <w:sz w:val="36"/>
                <w:szCs w:val="36"/>
              </w:rPr>
            </w:pPr>
            <w:r>
              <w:rPr>
                <w:noProof/>
              </w:rPr>
              <w:drawing>
                <wp:inline distT="0" distB="0" distL="0" distR="0" wp14:anchorId="0834F00A" wp14:editId="6D8EAC04">
                  <wp:extent cx="1077554" cy="1145969"/>
                  <wp:effectExtent l="0" t="0" r="8890" b="0"/>
                  <wp:docPr id="194780435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0DEE4F12" w14:textId="77777777" w:rsidR="11FF5668" w:rsidRPr="00C66D0B" w:rsidRDefault="11FF5668" w:rsidP="00216312">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Plan de desempeño estatal (SPP)</w:t>
            </w:r>
          </w:p>
          <w:p w14:paraId="5C0CB28C" w14:textId="4B3797DB" w:rsidR="11FF5668" w:rsidRPr="00C66D0B" w:rsidRDefault="11FF5668" w:rsidP="00216312">
            <w:pPr>
              <w:pStyle w:val="Title"/>
              <w:spacing w:after="200"/>
              <w:jc w:val="center"/>
              <w:rPr>
                <w:rFonts w:asciiTheme="minorHAnsi" w:eastAsia="Arial" w:hAnsiTheme="minorHAnsi" w:cstheme="minorBidi"/>
                <w:b/>
                <w:bCs/>
                <w:color w:val="1B75BC"/>
                <w:sz w:val="48"/>
                <w:szCs w:val="48"/>
                <w:lang w:val="es-MX"/>
              </w:rPr>
            </w:pPr>
            <w:r>
              <w:rPr>
                <w:rFonts w:asciiTheme="minorHAnsi" w:eastAsia="Arial" w:hAnsiTheme="minorHAnsi" w:cstheme="minorBidi"/>
                <w:b/>
                <w:bCs/>
                <w:color w:val="1B75BC"/>
                <w:sz w:val="48"/>
                <w:szCs w:val="48"/>
                <w:lang w:val="es-PR"/>
              </w:rPr>
              <w:t>Hoja de datos</w:t>
            </w:r>
          </w:p>
          <w:p w14:paraId="608186D1" w14:textId="2E995C6E" w:rsidR="11FF5668" w:rsidRPr="00C66D0B" w:rsidRDefault="11FF5668" w:rsidP="00216312">
            <w:pPr>
              <w:pStyle w:val="Title"/>
              <w:spacing w:after="200"/>
              <w:jc w:val="center"/>
              <w:rPr>
                <w:rFonts w:asciiTheme="minorHAnsi" w:eastAsia="Arial" w:hAnsiTheme="minorHAnsi" w:cstheme="minorBidi"/>
                <w:b/>
                <w:bCs/>
                <w:color w:val="082A75"/>
                <w:sz w:val="32"/>
                <w:szCs w:val="32"/>
                <w:lang w:val="es-MX"/>
              </w:rPr>
            </w:pPr>
            <w:r>
              <w:rPr>
                <w:rFonts w:asciiTheme="minorHAnsi" w:eastAsia="Arial" w:hAnsiTheme="minorHAnsi" w:cstheme="minorBidi"/>
                <w:b/>
                <w:bCs/>
                <w:color w:val="1B75BC"/>
                <w:sz w:val="32"/>
                <w:szCs w:val="32"/>
                <w:lang w:val="es-PR"/>
              </w:rPr>
              <w:t>Indicador B8: Participación de los padres</w:t>
            </w:r>
          </w:p>
        </w:tc>
      </w:tr>
      <w:tr w:rsidR="11FF5668" w:rsidRPr="00C66D0B" w14:paraId="2768B57D" w14:textId="77777777" w:rsidTr="11FF5668">
        <w:trPr>
          <w:trHeight w:val="72"/>
        </w:trPr>
        <w:tc>
          <w:tcPr>
            <w:tcW w:w="2484" w:type="dxa"/>
            <w:gridSpan w:val="2"/>
            <w:shd w:val="clear" w:color="auto" w:fill="9F2065"/>
          </w:tcPr>
          <w:p w14:paraId="29FB5325" w14:textId="77777777" w:rsidR="11FF5668" w:rsidRPr="00C66D0B" w:rsidRDefault="11FF5668" w:rsidP="00216312">
            <w:pPr>
              <w:rPr>
                <w:noProof/>
                <w:lang w:val="es-MX"/>
              </w:rPr>
            </w:pPr>
          </w:p>
        </w:tc>
        <w:tc>
          <w:tcPr>
            <w:tcW w:w="2484" w:type="dxa"/>
            <w:shd w:val="clear" w:color="auto" w:fill="E26B2A"/>
          </w:tcPr>
          <w:p w14:paraId="7E48A06E" w14:textId="77777777" w:rsidR="11FF5668" w:rsidRPr="00C66D0B" w:rsidRDefault="11FF5668" w:rsidP="00216312">
            <w:pPr>
              <w:pStyle w:val="Title"/>
              <w:rPr>
                <w:rFonts w:asciiTheme="minorHAnsi" w:eastAsia="Arial" w:hAnsiTheme="minorHAnsi" w:cstheme="minorBidi"/>
                <w:b/>
                <w:bCs/>
                <w:color w:val="082974"/>
                <w:sz w:val="22"/>
                <w:szCs w:val="22"/>
                <w:lang w:val="es-MX"/>
              </w:rPr>
            </w:pPr>
          </w:p>
        </w:tc>
        <w:tc>
          <w:tcPr>
            <w:tcW w:w="2484" w:type="dxa"/>
            <w:shd w:val="clear" w:color="auto" w:fill="1B75BC"/>
          </w:tcPr>
          <w:p w14:paraId="097FB803" w14:textId="77777777" w:rsidR="11FF5668" w:rsidRPr="00C66D0B" w:rsidRDefault="11FF5668" w:rsidP="00216312">
            <w:pPr>
              <w:pStyle w:val="Title"/>
              <w:rPr>
                <w:rFonts w:asciiTheme="minorHAnsi" w:eastAsia="Arial" w:hAnsiTheme="minorHAnsi" w:cstheme="minorBidi"/>
                <w:b/>
                <w:bCs/>
                <w:color w:val="082974"/>
                <w:sz w:val="22"/>
                <w:szCs w:val="22"/>
                <w:lang w:val="es-MX"/>
              </w:rPr>
            </w:pPr>
          </w:p>
        </w:tc>
        <w:tc>
          <w:tcPr>
            <w:tcW w:w="2484" w:type="dxa"/>
            <w:shd w:val="clear" w:color="auto" w:fill="408740"/>
          </w:tcPr>
          <w:p w14:paraId="1E8261A4" w14:textId="46579079" w:rsidR="11FF5668" w:rsidRPr="00C66D0B" w:rsidRDefault="11FF5668" w:rsidP="00216312">
            <w:pPr>
              <w:pStyle w:val="Title"/>
              <w:rPr>
                <w:rFonts w:asciiTheme="minorHAnsi" w:eastAsia="Arial" w:hAnsiTheme="minorHAnsi" w:cstheme="minorBidi"/>
                <w:b/>
                <w:bCs/>
                <w:color w:val="082974"/>
                <w:sz w:val="22"/>
                <w:szCs w:val="22"/>
                <w:lang w:val="es-MX"/>
              </w:rPr>
            </w:pPr>
          </w:p>
        </w:tc>
      </w:tr>
    </w:tbl>
    <w:p w14:paraId="2D7E9578" w14:textId="355BC2F2" w:rsidR="4B7778E9" w:rsidRPr="00C66D0B" w:rsidRDefault="4B7778E9" w:rsidP="00216312">
      <w:pPr>
        <w:pStyle w:val="Heading1"/>
        <w:spacing w:line="240" w:lineRule="auto"/>
        <w:rPr>
          <w:rFonts w:ascii="Calibri" w:eastAsia="Calibri" w:hAnsi="Calibri" w:cs="Calibri"/>
          <w:color w:val="1B75BC"/>
          <w:lang w:val="es-MX"/>
        </w:rPr>
      </w:pPr>
      <w:r>
        <w:rPr>
          <w:rFonts w:ascii="Calibri" w:eastAsia="Calibri" w:hAnsi="Calibri" w:cs="Calibri"/>
          <w:b/>
          <w:bCs/>
          <w:color w:val="1B75BC"/>
          <w:lang w:val="es-PR"/>
        </w:rPr>
        <w:t>Plan de desempeño del estado de Oregon</w:t>
      </w:r>
    </w:p>
    <w:p w14:paraId="766EEB26" w14:textId="2DA34282" w:rsidR="00216312" w:rsidRPr="00C66D0B" w:rsidRDefault="00216312" w:rsidP="00216312">
      <w:pPr>
        <w:spacing w:after="0" w:line="240" w:lineRule="auto"/>
        <w:rPr>
          <w:rFonts w:ascii="Calibri" w:eastAsia="Calibri" w:hAnsi="Calibri" w:cs="Calibri"/>
          <w:color w:val="000000" w:themeColor="text1"/>
          <w:lang w:val="es-MX"/>
        </w:rPr>
      </w:pPr>
      <w:r>
        <w:rPr>
          <w:rFonts w:ascii="Calibri" w:eastAsia="Calibri" w:hAnsi="Calibri" w:cs="Calibri"/>
          <w:color w:val="000000" w:themeColor="text1"/>
          <w:lang w:val="es-PR"/>
        </w:rPr>
        <w:t xml:space="preserve">Bajo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La OSEP establece los objetivos para los indicadores de cumplimiento y el ODE establece los objetivos para los indicadores de resultados. El SPP debe incluir objetivos para cada indicador de resultados. El ODE informa sobre el progreso realizado hacia estos indicadores cada año en el Informe de desempeño anual (APR). Cada seis años, la ODE debe revisar los objetivos de resultados e involucrar a los socios clave en el desarrollo de nuevos objetivos. Actualmente, el ODE está buscando información relacionada con los indicadores para los cuales se deben establecer objetivos y llevará a cabo una sesión de información pública para discutir los datos relacionados con este indicador en diciembre de 2021. Por favor, consulte la página web del </w:t>
      </w:r>
      <w:hyperlink r:id="rId11">
        <w:r>
          <w:rPr>
            <w:rStyle w:val="Hyperlink"/>
            <w:rFonts w:ascii="Calibri" w:eastAsia="Calibri" w:hAnsi="Calibri" w:cs="Calibri"/>
            <w:lang w:val="es-PR"/>
          </w:rPr>
          <w:t>Plan de desempeño estatal y los informes anuales de educación especial de ODE</w:t>
        </w:r>
      </w:hyperlink>
      <w:r>
        <w:rPr>
          <w:rFonts w:ascii="Calibri" w:eastAsia="Calibri" w:hAnsi="Calibri" w:cs="Calibri"/>
          <w:color w:val="000000" w:themeColor="text1"/>
          <w:lang w:val="es-PR"/>
        </w:rPr>
        <w:t xml:space="preserve"> para obtener más información y para registrarse para la sesión de comentarios del público. También puede proporcionar información sin asistir a la sesión a través de </w:t>
      </w:r>
      <w:hyperlink r:id="rId12" w:history="1">
        <w:r>
          <w:rPr>
            <w:rStyle w:val="Hyperlink"/>
            <w:rFonts w:ascii="Calibri" w:eastAsia="Calibri" w:hAnsi="Calibri" w:cs="Calibri"/>
            <w:lang w:val="es-PR"/>
          </w:rPr>
          <w:t>esta encuesta</w:t>
        </w:r>
      </w:hyperlink>
      <w:r>
        <w:rPr>
          <w:rFonts w:ascii="Calibri" w:eastAsia="Calibri" w:hAnsi="Calibri" w:cs="Calibri"/>
          <w:color w:val="000000" w:themeColor="text1"/>
          <w:lang w:val="es-PR"/>
        </w:rPr>
        <w:t>.</w:t>
      </w:r>
    </w:p>
    <w:p w14:paraId="4B73E1C3" w14:textId="0BC52818" w:rsidR="000E4FA0" w:rsidRPr="00C66D0B" w:rsidRDefault="00CA3BE5" w:rsidP="00216312">
      <w:pPr>
        <w:pStyle w:val="Heading1"/>
        <w:spacing w:line="240" w:lineRule="auto"/>
        <w:rPr>
          <w:rFonts w:asciiTheme="minorHAnsi" w:hAnsiTheme="minorHAnsi" w:cstheme="minorBidi"/>
          <w:b/>
          <w:bCs/>
          <w:color w:val="1B75BC"/>
          <w:lang w:val="es-MX"/>
        </w:rPr>
      </w:pPr>
      <w:r>
        <w:rPr>
          <w:rFonts w:asciiTheme="minorHAnsi" w:hAnsiTheme="minorHAnsi" w:cstheme="minorBidi"/>
          <w:b/>
          <w:bCs/>
          <w:color w:val="1B75BC"/>
          <w:lang w:val="es-PR"/>
        </w:rPr>
        <w:t>¿Qué mide este indicador y por qué es importante?</w:t>
      </w:r>
    </w:p>
    <w:p w14:paraId="60D970F2" w14:textId="68E96236" w:rsidR="3F30FB77" w:rsidRPr="00C66D0B" w:rsidRDefault="3F30FB77" w:rsidP="00216312">
      <w:pPr>
        <w:spacing w:line="240" w:lineRule="auto"/>
        <w:rPr>
          <w:rFonts w:ascii="Calibri" w:eastAsia="Calibri" w:hAnsi="Calibri" w:cs="Calibri"/>
          <w:lang w:val="es-MX"/>
        </w:rPr>
      </w:pPr>
      <w:r>
        <w:rPr>
          <w:lang w:val="es-PR"/>
        </w:rPr>
        <w:t xml:space="preserve">El indicador B8 aborda una </w:t>
      </w:r>
      <w:r>
        <w:rPr>
          <w:rFonts w:ascii="Calibri" w:hAnsi="Calibri"/>
          <w:color w:val="000000" w:themeColor="text1"/>
          <w:lang w:val="es-PR"/>
        </w:rPr>
        <w:t>Educación Pública Apropiada y Gratuita (FAPE) en el Ambiente Menos Restrictivo (LRE)</w:t>
      </w:r>
      <w:r>
        <w:rPr>
          <w:lang w:val="es-PR"/>
        </w:rPr>
        <w:t xml:space="preserve"> midiendo el p</w:t>
      </w:r>
      <w:r>
        <w:rPr>
          <w:color w:val="000000" w:themeColor="text1"/>
          <w:lang w:val="es-PR"/>
        </w:rPr>
        <w:t>orcentaje de padres con un niño que recibe servicios de educación especial que informan que las escuelas facilitaron la participación de los padres como un medio para mejorar los servicios y los resultados para los niños. con discapacidades.</w:t>
      </w:r>
    </w:p>
    <w:p w14:paraId="21AABC0C" w14:textId="1D2468F7" w:rsidR="6CBDC2CC" w:rsidRPr="00C66D0B" w:rsidRDefault="00356BE5" w:rsidP="00C63CE5">
      <w:pPr>
        <w:pStyle w:val="Heading1"/>
        <w:spacing w:line="240" w:lineRule="auto"/>
        <w:rPr>
          <w:rFonts w:asciiTheme="minorHAnsi" w:hAnsiTheme="minorHAnsi" w:cstheme="minorBidi"/>
          <w:b/>
          <w:bCs/>
          <w:color w:val="1B75BC"/>
          <w:lang w:val="es-MX"/>
        </w:rPr>
      </w:pPr>
      <w:r>
        <w:rPr>
          <w:rFonts w:asciiTheme="minorHAnsi" w:hAnsiTheme="minorHAnsi" w:cstheme="minorBidi"/>
          <w:b/>
          <w:bCs/>
          <w:color w:val="1B75BC"/>
          <w:lang w:val="es-PR"/>
        </w:rPr>
        <w:t>¿Cuál es la fuente de datos?</w:t>
      </w:r>
    </w:p>
    <w:p w14:paraId="179B0E6C" w14:textId="2185F195" w:rsidR="3C1E556C" w:rsidRPr="00C66D0B" w:rsidRDefault="00AC06C8" w:rsidP="00216312">
      <w:pPr>
        <w:spacing w:after="80" w:line="240" w:lineRule="auto"/>
        <w:rPr>
          <w:rFonts w:eastAsiaTheme="minorEastAsia"/>
          <w:color w:val="000000" w:themeColor="text1"/>
          <w:lang w:val="es-MX"/>
        </w:rPr>
      </w:pPr>
      <w:r>
        <w:rPr>
          <w:rFonts w:eastAsiaTheme="minorEastAsia"/>
          <w:color w:val="000000" w:themeColor="text1"/>
          <w:lang w:val="es-PR"/>
        </w:rPr>
        <w:t>A través de un contratista, Oregon administra encuestas anuales para padres a familias seleccionadas mediante un procedimiento de muestreo.</w:t>
      </w:r>
    </w:p>
    <w:p w14:paraId="7CA20121" w14:textId="77777777" w:rsidR="00536341" w:rsidRPr="00C66D0B" w:rsidRDefault="00536341" w:rsidP="00536341">
      <w:pPr>
        <w:pStyle w:val="Heading1"/>
        <w:spacing w:line="240" w:lineRule="auto"/>
        <w:rPr>
          <w:rFonts w:asciiTheme="minorHAnsi" w:hAnsiTheme="minorHAnsi" w:cstheme="minorBidi"/>
          <w:b/>
          <w:bCs/>
          <w:color w:val="1B75BC"/>
          <w:lang w:val="es-MX"/>
        </w:rPr>
      </w:pPr>
      <w:r>
        <w:rPr>
          <w:rFonts w:asciiTheme="minorHAnsi" w:hAnsiTheme="minorHAnsi" w:cstheme="minorBidi"/>
          <w:b/>
          <w:bCs/>
          <w:color w:val="1B75BC"/>
          <w:lang w:val="es-PR"/>
        </w:rPr>
        <w:t>¿Es necesario establecer o restablecer la línea de base para este indicador?</w:t>
      </w:r>
    </w:p>
    <w:p w14:paraId="6E124765" w14:textId="7C0217F0" w:rsidR="00536341" w:rsidRPr="00C66D0B" w:rsidRDefault="00536341" w:rsidP="00536341">
      <w:pPr>
        <w:spacing w:after="120" w:line="240" w:lineRule="auto"/>
        <w:rPr>
          <w:lang w:val="es-MX"/>
        </w:rPr>
      </w:pPr>
      <w:r>
        <w:rPr>
          <w:lang w:val="es-PR"/>
        </w:rPr>
        <w:t>Sí, el ODE propone usar nuestros datos disponibles más recientemente como una nueva línea de base para este indicador para el Plan de Desempeño Estatal de los años fiscales 2020-2025, de la siguiente manera:</w:t>
      </w:r>
    </w:p>
    <w:tbl>
      <w:tblPr>
        <w:tblW w:w="0" w:type="auto"/>
        <w:jc w:val="center"/>
        <w:tblLayout w:type="fixed"/>
        <w:tblLook w:val="06A0" w:firstRow="1" w:lastRow="0" w:firstColumn="1" w:lastColumn="0" w:noHBand="1" w:noVBand="1"/>
      </w:tblPr>
      <w:tblGrid>
        <w:gridCol w:w="3322"/>
      </w:tblGrid>
      <w:tr w:rsidR="00536341" w:rsidRPr="00EC1479" w14:paraId="04A2C2AB"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shd w:val="clear" w:color="auto" w:fill="FFC000" w:themeFill="accent4"/>
            <w:vAlign w:val="center"/>
          </w:tcPr>
          <w:p w14:paraId="4E49E9FF" w14:textId="77777777" w:rsidR="00536341" w:rsidRPr="00EC1479" w:rsidRDefault="00536341" w:rsidP="00D41862">
            <w:pPr>
              <w:spacing w:before="60" w:after="60" w:line="240" w:lineRule="auto"/>
              <w:jc w:val="center"/>
              <w:rPr>
                <w:rFonts w:eastAsia="Arial" w:cstheme="minorHAnsi"/>
                <w:b/>
                <w:bCs/>
                <w:color w:val="000000" w:themeColor="text1"/>
              </w:rPr>
            </w:pPr>
            <w:r>
              <w:rPr>
                <w:rFonts w:eastAsia="Arial" w:cstheme="minorHAnsi"/>
                <w:b/>
                <w:bCs/>
                <w:color w:val="000000" w:themeColor="text1"/>
                <w:lang w:val="es-PR"/>
              </w:rPr>
              <w:t>Nueva línea de base</w:t>
            </w:r>
          </w:p>
        </w:tc>
      </w:tr>
      <w:tr w:rsidR="00536341" w:rsidRPr="00EC1479" w14:paraId="31FEE86C"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7312C43A" w14:textId="77777777" w:rsidR="00536341" w:rsidRPr="00EC1479" w:rsidRDefault="00536341" w:rsidP="00D41862">
            <w:pPr>
              <w:spacing w:before="60" w:after="60" w:line="240" w:lineRule="auto"/>
              <w:jc w:val="center"/>
              <w:rPr>
                <w:rFonts w:eastAsia="Arial" w:cstheme="minorHAnsi"/>
                <w:color w:val="000000" w:themeColor="text1"/>
              </w:rPr>
            </w:pPr>
            <w:r>
              <w:rPr>
                <w:rFonts w:eastAsia="Arial" w:cstheme="minorHAnsi"/>
                <w:color w:val="000000" w:themeColor="text1"/>
                <w:lang w:val="es-PR"/>
              </w:rPr>
              <w:t>Preescolar/B619 = 88.99%</w:t>
            </w:r>
          </w:p>
        </w:tc>
      </w:tr>
      <w:tr w:rsidR="00536341" w:rsidRPr="00EC1479" w14:paraId="4B057E1D" w14:textId="77777777" w:rsidTr="00D41862">
        <w:trPr>
          <w:trHeight w:val="360"/>
          <w:jc w:val="center"/>
        </w:trPr>
        <w:tc>
          <w:tcPr>
            <w:tcW w:w="3322" w:type="dxa"/>
            <w:tcBorders>
              <w:top w:val="single" w:sz="6" w:space="0" w:color="auto"/>
              <w:left w:val="single" w:sz="6" w:space="0" w:color="auto"/>
              <w:bottom w:val="single" w:sz="6" w:space="0" w:color="auto"/>
              <w:right w:val="single" w:sz="6" w:space="0" w:color="auto"/>
            </w:tcBorders>
            <w:vAlign w:val="center"/>
          </w:tcPr>
          <w:p w14:paraId="1B273ABF" w14:textId="77777777" w:rsidR="00536341" w:rsidRPr="00EC1479" w:rsidRDefault="00536341" w:rsidP="00D41862">
            <w:pPr>
              <w:spacing w:before="60" w:after="60" w:line="240" w:lineRule="auto"/>
              <w:jc w:val="center"/>
              <w:rPr>
                <w:rFonts w:eastAsia="Arial" w:cstheme="minorHAnsi"/>
                <w:color w:val="000000" w:themeColor="text1"/>
              </w:rPr>
            </w:pPr>
            <w:r>
              <w:rPr>
                <w:rFonts w:eastAsia="Arial" w:cstheme="minorHAnsi"/>
                <w:color w:val="000000" w:themeColor="text1"/>
                <w:lang w:val="es-PR"/>
              </w:rPr>
              <w:t>Edad escolar/B611 = 83.56%</w:t>
            </w:r>
          </w:p>
        </w:tc>
      </w:tr>
    </w:tbl>
    <w:p w14:paraId="0A61ADA5" w14:textId="6278B3B0" w:rsidR="00C06C4E" w:rsidRPr="00C66D0B" w:rsidRDefault="1E4AC4F9" w:rsidP="00EC1479">
      <w:pPr>
        <w:pStyle w:val="Heading1"/>
        <w:spacing w:after="120" w:line="240" w:lineRule="auto"/>
        <w:rPr>
          <w:rFonts w:asciiTheme="minorHAnsi" w:hAnsiTheme="minorHAnsi" w:cstheme="minorBidi"/>
          <w:b/>
          <w:bCs/>
          <w:color w:val="1B75BC"/>
          <w:lang w:val="es-MX"/>
        </w:rPr>
      </w:pPr>
      <w:r>
        <w:rPr>
          <w:rFonts w:asciiTheme="minorHAnsi" w:hAnsiTheme="minorHAnsi" w:cstheme="minorBidi"/>
          <w:b/>
          <w:bCs/>
          <w:color w:val="1B75BC"/>
          <w:lang w:val="es-PR"/>
        </w:rPr>
        <w:lastRenderedPageBreak/>
        <w:t>¿Cómo se ha desempeñado Oregon a lo largo del tiempo?</w:t>
      </w:r>
    </w:p>
    <w:p w14:paraId="787CC78E" w14:textId="77777777" w:rsidR="00E14876" w:rsidRDefault="00536341" w:rsidP="00536341">
      <w:pPr>
        <w:rPr>
          <w:noProof/>
        </w:rPr>
      </w:pPr>
      <w:r>
        <w:rPr>
          <w:noProof/>
        </w:rPr>
        <w:drawing>
          <wp:inline distT="0" distB="0" distL="0" distR="0" wp14:anchorId="7DF37FFA" wp14:editId="1D0B3A12">
            <wp:extent cx="6400800" cy="2743200"/>
            <wp:effectExtent l="0" t="0" r="0" b="0"/>
            <wp:docPr id="1" name="Chart 1" title="Datos del indicador B8 de Oregón (participación de los padres) Preescol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s-PR"/>
        </w:rPr>
        <w:t xml:space="preserve"> </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102"/>
        <w:gridCol w:w="1103"/>
        <w:gridCol w:w="1102"/>
        <w:gridCol w:w="1103"/>
        <w:gridCol w:w="1102"/>
        <w:gridCol w:w="1103"/>
        <w:gridCol w:w="1102"/>
        <w:gridCol w:w="1103"/>
      </w:tblGrid>
      <w:tr w:rsidR="00E14876" w:rsidRPr="00C63CE5" w14:paraId="1A605C73" w14:textId="77777777" w:rsidTr="0EFEDBEB">
        <w:trPr>
          <w:trHeight w:val="53"/>
        </w:trPr>
        <w:tc>
          <w:tcPr>
            <w:tcW w:w="1255" w:type="dxa"/>
            <w:shd w:val="clear" w:color="auto" w:fill="1E8BCD"/>
            <w:vAlign w:val="center"/>
          </w:tcPr>
          <w:p w14:paraId="2F0A0DD0"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Grupo</w:t>
            </w:r>
          </w:p>
        </w:tc>
        <w:tc>
          <w:tcPr>
            <w:tcW w:w="1102" w:type="dxa"/>
            <w:shd w:val="clear" w:color="auto" w:fill="1E8BCD"/>
            <w:vAlign w:val="center"/>
          </w:tcPr>
          <w:p w14:paraId="2FC0C1D9"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Línea de base</w:t>
            </w:r>
          </w:p>
        </w:tc>
        <w:tc>
          <w:tcPr>
            <w:tcW w:w="1103" w:type="dxa"/>
            <w:shd w:val="clear" w:color="auto" w:fill="1E8BCD"/>
            <w:vAlign w:val="center"/>
          </w:tcPr>
          <w:p w14:paraId="10D98125"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Años fiscales</w:t>
            </w:r>
          </w:p>
        </w:tc>
        <w:tc>
          <w:tcPr>
            <w:tcW w:w="1102" w:type="dxa"/>
            <w:shd w:val="clear" w:color="auto" w:fill="1E8BCD"/>
            <w:vAlign w:val="center"/>
          </w:tcPr>
          <w:p w14:paraId="033C1DB8"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2014</w:t>
            </w:r>
          </w:p>
        </w:tc>
        <w:tc>
          <w:tcPr>
            <w:tcW w:w="1103" w:type="dxa"/>
            <w:shd w:val="clear" w:color="auto" w:fill="1E8BCD"/>
            <w:vAlign w:val="center"/>
          </w:tcPr>
          <w:p w14:paraId="344CD4F1"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2015</w:t>
            </w:r>
          </w:p>
        </w:tc>
        <w:tc>
          <w:tcPr>
            <w:tcW w:w="1102" w:type="dxa"/>
            <w:shd w:val="clear" w:color="auto" w:fill="1E8BCD"/>
            <w:vAlign w:val="center"/>
          </w:tcPr>
          <w:p w14:paraId="0291E4C5"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2016</w:t>
            </w:r>
          </w:p>
        </w:tc>
        <w:tc>
          <w:tcPr>
            <w:tcW w:w="1103" w:type="dxa"/>
            <w:shd w:val="clear" w:color="auto" w:fill="1E8BCD"/>
            <w:vAlign w:val="center"/>
          </w:tcPr>
          <w:p w14:paraId="3201FB0F"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2017</w:t>
            </w:r>
          </w:p>
        </w:tc>
        <w:tc>
          <w:tcPr>
            <w:tcW w:w="1102" w:type="dxa"/>
            <w:shd w:val="clear" w:color="auto" w:fill="1E8BCD"/>
            <w:vAlign w:val="center"/>
          </w:tcPr>
          <w:p w14:paraId="11094FB6" w14:textId="77777777" w:rsidR="00E14876" w:rsidRPr="00C63CE5" w:rsidRDefault="00E14876" w:rsidP="00D41862">
            <w:pPr>
              <w:spacing w:before="60" w:after="60" w:line="240" w:lineRule="auto"/>
              <w:jc w:val="center"/>
              <w:rPr>
                <w:rFonts w:cstheme="minorHAnsi"/>
              </w:rPr>
            </w:pPr>
            <w:r>
              <w:rPr>
                <w:rFonts w:eastAsia="Arial" w:cstheme="minorHAnsi"/>
                <w:b/>
                <w:bCs/>
                <w:color w:val="000000" w:themeColor="text1"/>
                <w:lang w:val="es-PR"/>
              </w:rPr>
              <w:t>2018</w:t>
            </w:r>
          </w:p>
        </w:tc>
        <w:tc>
          <w:tcPr>
            <w:tcW w:w="1103" w:type="dxa"/>
            <w:shd w:val="clear" w:color="auto" w:fill="1E8BCD"/>
            <w:vAlign w:val="center"/>
          </w:tcPr>
          <w:p w14:paraId="2D43BAC1" w14:textId="77777777" w:rsidR="00E14876" w:rsidRPr="00C63CE5" w:rsidRDefault="00E14876" w:rsidP="00D41862">
            <w:pPr>
              <w:spacing w:before="60" w:after="60" w:line="240" w:lineRule="auto"/>
              <w:jc w:val="center"/>
              <w:rPr>
                <w:rFonts w:eastAsia="Arial" w:cstheme="minorHAnsi"/>
                <w:b/>
                <w:bCs/>
                <w:color w:val="000000" w:themeColor="text1"/>
              </w:rPr>
            </w:pPr>
            <w:r>
              <w:rPr>
                <w:rFonts w:eastAsia="Arial" w:cstheme="minorHAnsi"/>
                <w:b/>
                <w:bCs/>
                <w:color w:val="000000" w:themeColor="text1"/>
                <w:lang w:val="es-PR"/>
              </w:rPr>
              <w:t>2019</w:t>
            </w:r>
          </w:p>
        </w:tc>
      </w:tr>
      <w:tr w:rsidR="00E14876" w:rsidRPr="00C63CE5" w14:paraId="419C8348" w14:textId="77777777" w:rsidTr="0EFEDBEB">
        <w:trPr>
          <w:trHeight w:val="53"/>
        </w:trPr>
        <w:tc>
          <w:tcPr>
            <w:tcW w:w="1255" w:type="dxa"/>
            <w:vAlign w:val="center"/>
          </w:tcPr>
          <w:p w14:paraId="7DC7758D"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Preescolar</w:t>
            </w:r>
          </w:p>
        </w:tc>
        <w:tc>
          <w:tcPr>
            <w:tcW w:w="1102" w:type="dxa"/>
            <w:vAlign w:val="center"/>
          </w:tcPr>
          <w:p w14:paraId="67F590E4"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2014</w:t>
            </w:r>
          </w:p>
        </w:tc>
        <w:tc>
          <w:tcPr>
            <w:tcW w:w="1103" w:type="dxa"/>
            <w:vAlign w:val="center"/>
          </w:tcPr>
          <w:p w14:paraId="52C45F9B"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Objetivo ≥</w:t>
            </w:r>
          </w:p>
        </w:tc>
        <w:tc>
          <w:tcPr>
            <w:tcW w:w="1102" w:type="dxa"/>
            <w:vAlign w:val="center"/>
          </w:tcPr>
          <w:p w14:paraId="5294A2E9"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82.18%</w:t>
            </w:r>
          </w:p>
        </w:tc>
        <w:tc>
          <w:tcPr>
            <w:tcW w:w="1103" w:type="dxa"/>
            <w:vAlign w:val="center"/>
          </w:tcPr>
          <w:p w14:paraId="2B3AAA2D"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82.48%</w:t>
            </w:r>
          </w:p>
        </w:tc>
        <w:tc>
          <w:tcPr>
            <w:tcW w:w="1102" w:type="dxa"/>
            <w:vAlign w:val="center"/>
          </w:tcPr>
          <w:p w14:paraId="049F388C"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82.68%</w:t>
            </w:r>
          </w:p>
        </w:tc>
        <w:tc>
          <w:tcPr>
            <w:tcW w:w="1103" w:type="dxa"/>
            <w:vAlign w:val="center"/>
          </w:tcPr>
          <w:p w14:paraId="6B490F2D"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83.68%</w:t>
            </w:r>
          </w:p>
        </w:tc>
        <w:tc>
          <w:tcPr>
            <w:tcW w:w="1102" w:type="dxa"/>
            <w:vAlign w:val="center"/>
          </w:tcPr>
          <w:p w14:paraId="6CD813A7"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85.68%</w:t>
            </w:r>
          </w:p>
        </w:tc>
        <w:tc>
          <w:tcPr>
            <w:tcW w:w="1103" w:type="dxa"/>
            <w:vAlign w:val="center"/>
          </w:tcPr>
          <w:p w14:paraId="3876D37F" w14:textId="77777777" w:rsidR="00E14876" w:rsidRPr="00C63CE5" w:rsidRDefault="00E14876" w:rsidP="00D41862">
            <w:pPr>
              <w:spacing w:before="60" w:after="60" w:line="240" w:lineRule="auto"/>
              <w:jc w:val="center"/>
              <w:rPr>
                <w:rFonts w:eastAsia="Arial" w:cstheme="minorHAnsi"/>
                <w:color w:val="000000" w:themeColor="text1"/>
              </w:rPr>
            </w:pPr>
            <w:r>
              <w:rPr>
                <w:rFonts w:eastAsia="Arial" w:cstheme="minorHAnsi"/>
                <w:color w:val="000000" w:themeColor="text1"/>
                <w:lang w:val="es-PR"/>
              </w:rPr>
              <w:t>85.68%</w:t>
            </w:r>
          </w:p>
        </w:tc>
      </w:tr>
      <w:tr w:rsidR="00E14876" w:rsidRPr="00C63CE5" w14:paraId="430E5B0F" w14:textId="77777777" w:rsidTr="0EFEDBEB">
        <w:trPr>
          <w:trHeight w:val="98"/>
        </w:trPr>
        <w:tc>
          <w:tcPr>
            <w:tcW w:w="1255" w:type="dxa"/>
            <w:vAlign w:val="center"/>
          </w:tcPr>
          <w:p w14:paraId="2C653A53"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Preescolar</w:t>
            </w:r>
          </w:p>
        </w:tc>
        <w:tc>
          <w:tcPr>
            <w:tcW w:w="1102" w:type="dxa"/>
            <w:vAlign w:val="center"/>
          </w:tcPr>
          <w:p w14:paraId="427B3B79"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82.18%</w:t>
            </w:r>
          </w:p>
        </w:tc>
        <w:tc>
          <w:tcPr>
            <w:tcW w:w="1103" w:type="dxa"/>
            <w:vAlign w:val="center"/>
          </w:tcPr>
          <w:p w14:paraId="0CA56913"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Datos</w:t>
            </w:r>
          </w:p>
        </w:tc>
        <w:tc>
          <w:tcPr>
            <w:tcW w:w="1102" w:type="dxa"/>
            <w:vAlign w:val="center"/>
          </w:tcPr>
          <w:p w14:paraId="40BCC8C2"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82.18%</w:t>
            </w:r>
          </w:p>
        </w:tc>
        <w:tc>
          <w:tcPr>
            <w:tcW w:w="1103" w:type="dxa"/>
            <w:vAlign w:val="center"/>
          </w:tcPr>
          <w:p w14:paraId="256E7F90"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81.16%</w:t>
            </w:r>
          </w:p>
        </w:tc>
        <w:tc>
          <w:tcPr>
            <w:tcW w:w="1102" w:type="dxa"/>
            <w:vAlign w:val="center"/>
          </w:tcPr>
          <w:p w14:paraId="1B207CEC"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86.23%</w:t>
            </w:r>
          </w:p>
        </w:tc>
        <w:tc>
          <w:tcPr>
            <w:tcW w:w="1103" w:type="dxa"/>
            <w:vAlign w:val="center"/>
          </w:tcPr>
          <w:p w14:paraId="486539C2"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79.37%</w:t>
            </w:r>
          </w:p>
        </w:tc>
        <w:tc>
          <w:tcPr>
            <w:tcW w:w="1102" w:type="dxa"/>
            <w:vAlign w:val="center"/>
          </w:tcPr>
          <w:p w14:paraId="6E65A103" w14:textId="77777777" w:rsidR="00E14876" w:rsidRPr="00C63CE5" w:rsidRDefault="00E14876" w:rsidP="00D41862">
            <w:pPr>
              <w:spacing w:before="60" w:after="60" w:line="240" w:lineRule="auto"/>
              <w:jc w:val="center"/>
              <w:rPr>
                <w:rFonts w:cstheme="minorHAnsi"/>
              </w:rPr>
            </w:pPr>
            <w:r>
              <w:rPr>
                <w:rFonts w:eastAsia="Arial" w:cstheme="minorHAnsi"/>
                <w:color w:val="000000" w:themeColor="text1"/>
                <w:lang w:val="es-PR"/>
              </w:rPr>
              <w:t>84.59%</w:t>
            </w:r>
          </w:p>
        </w:tc>
        <w:tc>
          <w:tcPr>
            <w:tcW w:w="1103" w:type="dxa"/>
            <w:vAlign w:val="center"/>
          </w:tcPr>
          <w:p w14:paraId="4BDEF29D" w14:textId="34525585" w:rsidR="00E14876" w:rsidRPr="00C63CE5" w:rsidRDefault="00E14876" w:rsidP="0EFEDBEB">
            <w:pPr>
              <w:spacing w:before="60" w:after="60" w:line="240" w:lineRule="auto"/>
              <w:jc w:val="center"/>
              <w:rPr>
                <w:rFonts w:eastAsia="Arial"/>
                <w:color w:val="000000" w:themeColor="text1"/>
              </w:rPr>
            </w:pPr>
            <w:r>
              <w:rPr>
                <w:rFonts w:eastAsia="Arial"/>
                <w:color w:val="000000" w:themeColor="text1"/>
                <w:lang w:val="es-PR"/>
              </w:rPr>
              <w:t>88.99%</w:t>
            </w:r>
          </w:p>
        </w:tc>
      </w:tr>
    </w:tbl>
    <w:p w14:paraId="7BFD2671" w14:textId="1990E333" w:rsidR="00536341" w:rsidRDefault="00E14876" w:rsidP="00E14876">
      <w:pPr>
        <w:spacing w:before="120"/>
      </w:pPr>
      <w:r>
        <w:rPr>
          <w:noProof/>
        </w:rPr>
        <w:drawing>
          <wp:inline distT="0" distB="0" distL="0" distR="0" wp14:anchorId="1CB5425D" wp14:editId="6181CECC">
            <wp:extent cx="6400800" cy="2743200"/>
            <wp:effectExtent l="0" t="0" r="0" b="0"/>
            <wp:docPr id="2" name="Chart 2" title="Datos del indicador B8 de Oregón (participación de los padres) Edad escol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084"/>
        <w:gridCol w:w="1085"/>
        <w:gridCol w:w="1084"/>
        <w:gridCol w:w="1085"/>
        <w:gridCol w:w="1084"/>
        <w:gridCol w:w="1085"/>
        <w:gridCol w:w="1084"/>
        <w:gridCol w:w="1085"/>
      </w:tblGrid>
      <w:tr w:rsidR="3272F914" w:rsidRPr="00C63CE5" w14:paraId="36D80071" w14:textId="77777777" w:rsidTr="0EFEDBEB">
        <w:trPr>
          <w:trHeight w:val="53"/>
        </w:trPr>
        <w:tc>
          <w:tcPr>
            <w:tcW w:w="1255" w:type="dxa"/>
            <w:shd w:val="clear" w:color="auto" w:fill="1E8BCD"/>
            <w:vAlign w:val="center"/>
          </w:tcPr>
          <w:p w14:paraId="5AA2DEF0" w14:textId="321F2339"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Grupo</w:t>
            </w:r>
          </w:p>
        </w:tc>
        <w:tc>
          <w:tcPr>
            <w:tcW w:w="1084" w:type="dxa"/>
            <w:shd w:val="clear" w:color="auto" w:fill="1E8BCD"/>
            <w:vAlign w:val="center"/>
          </w:tcPr>
          <w:p w14:paraId="3A767410" w14:textId="64294A17"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Línea de base</w:t>
            </w:r>
          </w:p>
        </w:tc>
        <w:tc>
          <w:tcPr>
            <w:tcW w:w="1085" w:type="dxa"/>
            <w:shd w:val="clear" w:color="auto" w:fill="1E8BCD"/>
            <w:vAlign w:val="center"/>
          </w:tcPr>
          <w:p w14:paraId="4B843047" w14:textId="2244E77A"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Años fiscales</w:t>
            </w:r>
          </w:p>
        </w:tc>
        <w:tc>
          <w:tcPr>
            <w:tcW w:w="1084" w:type="dxa"/>
            <w:shd w:val="clear" w:color="auto" w:fill="1E8BCD"/>
            <w:vAlign w:val="center"/>
          </w:tcPr>
          <w:p w14:paraId="092D92A2" w14:textId="2EC872AB"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2014</w:t>
            </w:r>
          </w:p>
        </w:tc>
        <w:tc>
          <w:tcPr>
            <w:tcW w:w="1085" w:type="dxa"/>
            <w:shd w:val="clear" w:color="auto" w:fill="1E8BCD"/>
            <w:vAlign w:val="center"/>
          </w:tcPr>
          <w:p w14:paraId="1171E315" w14:textId="1AC448E1"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2015</w:t>
            </w:r>
          </w:p>
        </w:tc>
        <w:tc>
          <w:tcPr>
            <w:tcW w:w="1084" w:type="dxa"/>
            <w:shd w:val="clear" w:color="auto" w:fill="1E8BCD"/>
            <w:vAlign w:val="center"/>
          </w:tcPr>
          <w:p w14:paraId="10074E9A" w14:textId="0BE4B738"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2016</w:t>
            </w:r>
          </w:p>
        </w:tc>
        <w:tc>
          <w:tcPr>
            <w:tcW w:w="1085" w:type="dxa"/>
            <w:shd w:val="clear" w:color="auto" w:fill="1E8BCD"/>
            <w:vAlign w:val="center"/>
          </w:tcPr>
          <w:p w14:paraId="00264745" w14:textId="7C26FF74"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2017</w:t>
            </w:r>
          </w:p>
        </w:tc>
        <w:tc>
          <w:tcPr>
            <w:tcW w:w="1084" w:type="dxa"/>
            <w:shd w:val="clear" w:color="auto" w:fill="1E8BCD"/>
            <w:vAlign w:val="center"/>
          </w:tcPr>
          <w:p w14:paraId="5BC4FB39" w14:textId="53911085" w:rsidR="3272F914" w:rsidRPr="00C63CE5" w:rsidRDefault="3272F914" w:rsidP="00BA0EA6">
            <w:pPr>
              <w:spacing w:before="60" w:after="60" w:line="240" w:lineRule="auto"/>
              <w:jc w:val="center"/>
              <w:rPr>
                <w:rFonts w:cstheme="minorHAnsi"/>
              </w:rPr>
            </w:pPr>
            <w:r>
              <w:rPr>
                <w:rFonts w:eastAsia="Arial" w:cstheme="minorHAnsi"/>
                <w:b/>
                <w:bCs/>
                <w:color w:val="000000" w:themeColor="text1"/>
                <w:lang w:val="es-PR"/>
              </w:rPr>
              <w:t>2018</w:t>
            </w:r>
          </w:p>
        </w:tc>
        <w:tc>
          <w:tcPr>
            <w:tcW w:w="1085" w:type="dxa"/>
            <w:shd w:val="clear" w:color="auto" w:fill="1E8BCD"/>
            <w:vAlign w:val="center"/>
          </w:tcPr>
          <w:p w14:paraId="2AB527DF" w14:textId="67D8A9BD" w:rsidR="41DAB5CE" w:rsidRPr="00C63CE5" w:rsidRDefault="3B4E0939" w:rsidP="00BA0EA6">
            <w:pPr>
              <w:spacing w:before="60" w:after="60" w:line="240" w:lineRule="auto"/>
              <w:jc w:val="center"/>
              <w:rPr>
                <w:rFonts w:eastAsia="Arial" w:cstheme="minorHAnsi"/>
                <w:b/>
                <w:bCs/>
                <w:color w:val="000000" w:themeColor="text1"/>
              </w:rPr>
            </w:pPr>
            <w:r>
              <w:rPr>
                <w:rFonts w:eastAsia="Arial" w:cstheme="minorHAnsi"/>
                <w:b/>
                <w:bCs/>
                <w:color w:val="000000" w:themeColor="text1"/>
                <w:lang w:val="es-PR"/>
              </w:rPr>
              <w:t>2019</w:t>
            </w:r>
          </w:p>
        </w:tc>
      </w:tr>
      <w:tr w:rsidR="3272F914" w:rsidRPr="00C63CE5" w14:paraId="4B5CAAC7" w14:textId="77777777" w:rsidTr="0EFEDBEB">
        <w:trPr>
          <w:trHeight w:val="53"/>
        </w:trPr>
        <w:tc>
          <w:tcPr>
            <w:tcW w:w="1255" w:type="dxa"/>
            <w:vAlign w:val="center"/>
          </w:tcPr>
          <w:p w14:paraId="32103E38" w14:textId="04889C3A" w:rsidR="3272F914" w:rsidRPr="00C63CE5" w:rsidRDefault="00EC1479" w:rsidP="00BA0EA6">
            <w:pPr>
              <w:spacing w:before="60" w:after="60" w:line="240" w:lineRule="auto"/>
              <w:jc w:val="center"/>
              <w:rPr>
                <w:rFonts w:cstheme="minorHAnsi"/>
              </w:rPr>
            </w:pPr>
            <w:r>
              <w:rPr>
                <w:rFonts w:cstheme="minorHAnsi"/>
                <w:lang w:val="es-PR"/>
              </w:rPr>
              <w:t>Edad escolar</w:t>
            </w:r>
          </w:p>
        </w:tc>
        <w:tc>
          <w:tcPr>
            <w:tcW w:w="1084" w:type="dxa"/>
            <w:vAlign w:val="center"/>
          </w:tcPr>
          <w:p w14:paraId="5816BD9C" w14:textId="0C1FDFB5"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2014</w:t>
            </w:r>
          </w:p>
        </w:tc>
        <w:tc>
          <w:tcPr>
            <w:tcW w:w="1085" w:type="dxa"/>
            <w:vAlign w:val="center"/>
          </w:tcPr>
          <w:p w14:paraId="3CD7EE22" w14:textId="4D663466" w:rsidR="3272F914" w:rsidRPr="00C63CE5" w:rsidRDefault="00AC06C8" w:rsidP="00BA0EA6">
            <w:pPr>
              <w:spacing w:before="60" w:after="60" w:line="240" w:lineRule="auto"/>
              <w:jc w:val="center"/>
              <w:rPr>
                <w:rFonts w:cstheme="minorHAnsi"/>
              </w:rPr>
            </w:pPr>
            <w:r>
              <w:rPr>
                <w:rFonts w:eastAsia="Arial" w:cstheme="minorHAnsi"/>
                <w:color w:val="000000" w:themeColor="text1"/>
                <w:lang w:val="es-PR"/>
              </w:rPr>
              <w:t>Objetivo ≥</w:t>
            </w:r>
          </w:p>
        </w:tc>
        <w:tc>
          <w:tcPr>
            <w:tcW w:w="1084" w:type="dxa"/>
            <w:vAlign w:val="center"/>
          </w:tcPr>
          <w:p w14:paraId="0D7DA1BB" w14:textId="34A9CF6E"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76.23%</w:t>
            </w:r>
          </w:p>
        </w:tc>
        <w:tc>
          <w:tcPr>
            <w:tcW w:w="1085" w:type="dxa"/>
            <w:vAlign w:val="center"/>
          </w:tcPr>
          <w:p w14:paraId="7E61F8FB" w14:textId="29E95120"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76.73%</w:t>
            </w:r>
          </w:p>
        </w:tc>
        <w:tc>
          <w:tcPr>
            <w:tcW w:w="1084" w:type="dxa"/>
            <w:vAlign w:val="center"/>
          </w:tcPr>
          <w:p w14:paraId="0B7D34CD" w14:textId="586C78AE"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77.73%</w:t>
            </w:r>
          </w:p>
        </w:tc>
        <w:tc>
          <w:tcPr>
            <w:tcW w:w="1085" w:type="dxa"/>
            <w:vAlign w:val="center"/>
          </w:tcPr>
          <w:p w14:paraId="19CC2830" w14:textId="0439BDE8"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78.73%</w:t>
            </w:r>
          </w:p>
        </w:tc>
        <w:tc>
          <w:tcPr>
            <w:tcW w:w="1084" w:type="dxa"/>
            <w:vAlign w:val="center"/>
          </w:tcPr>
          <w:p w14:paraId="235D6199" w14:textId="3F8E2BF0"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81.23%</w:t>
            </w:r>
          </w:p>
        </w:tc>
        <w:tc>
          <w:tcPr>
            <w:tcW w:w="1085" w:type="dxa"/>
            <w:vAlign w:val="center"/>
          </w:tcPr>
          <w:p w14:paraId="508DC83E" w14:textId="197B856E" w:rsidR="4EF34651" w:rsidRPr="00C63CE5" w:rsidRDefault="5EF4CF3D" w:rsidP="00BA0EA6">
            <w:pPr>
              <w:spacing w:before="60" w:after="60" w:line="240" w:lineRule="auto"/>
              <w:jc w:val="center"/>
              <w:rPr>
                <w:rFonts w:eastAsia="Arial" w:cstheme="minorHAnsi"/>
                <w:color w:val="000000" w:themeColor="text1"/>
              </w:rPr>
            </w:pPr>
            <w:r>
              <w:rPr>
                <w:rFonts w:eastAsia="Arial" w:cstheme="minorHAnsi"/>
                <w:color w:val="000000" w:themeColor="text1"/>
                <w:lang w:val="es-PR"/>
              </w:rPr>
              <w:t>81.23%</w:t>
            </w:r>
          </w:p>
        </w:tc>
      </w:tr>
      <w:tr w:rsidR="3272F914" w:rsidRPr="00C63CE5" w14:paraId="08760D51" w14:textId="77777777" w:rsidTr="0EFEDBEB">
        <w:trPr>
          <w:trHeight w:val="53"/>
        </w:trPr>
        <w:tc>
          <w:tcPr>
            <w:tcW w:w="1255" w:type="dxa"/>
            <w:vAlign w:val="center"/>
          </w:tcPr>
          <w:p w14:paraId="6C2B5215" w14:textId="1FE5EAA4"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Edad escolar</w:t>
            </w:r>
          </w:p>
        </w:tc>
        <w:tc>
          <w:tcPr>
            <w:tcW w:w="1084" w:type="dxa"/>
            <w:vAlign w:val="center"/>
          </w:tcPr>
          <w:p w14:paraId="19D3C89D" w14:textId="367A9E19"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76.23%</w:t>
            </w:r>
          </w:p>
        </w:tc>
        <w:tc>
          <w:tcPr>
            <w:tcW w:w="1085" w:type="dxa"/>
            <w:vAlign w:val="center"/>
          </w:tcPr>
          <w:p w14:paraId="43A5B3C2" w14:textId="064EA2B9"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Datos</w:t>
            </w:r>
          </w:p>
        </w:tc>
        <w:tc>
          <w:tcPr>
            <w:tcW w:w="1084" w:type="dxa"/>
            <w:vAlign w:val="center"/>
          </w:tcPr>
          <w:p w14:paraId="7BCB4155" w14:textId="46BAE511"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76.23%</w:t>
            </w:r>
          </w:p>
        </w:tc>
        <w:tc>
          <w:tcPr>
            <w:tcW w:w="1085" w:type="dxa"/>
            <w:vAlign w:val="center"/>
          </w:tcPr>
          <w:p w14:paraId="20086AC6" w14:textId="718D8447"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78.12%</w:t>
            </w:r>
          </w:p>
        </w:tc>
        <w:tc>
          <w:tcPr>
            <w:tcW w:w="1084" w:type="dxa"/>
            <w:vAlign w:val="center"/>
          </w:tcPr>
          <w:p w14:paraId="1C7D96DB" w14:textId="6B80CB6C"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78.74%</w:t>
            </w:r>
          </w:p>
        </w:tc>
        <w:tc>
          <w:tcPr>
            <w:tcW w:w="1085" w:type="dxa"/>
            <w:vAlign w:val="center"/>
          </w:tcPr>
          <w:p w14:paraId="0869C48C" w14:textId="11F727D5"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79.43%</w:t>
            </w:r>
          </w:p>
        </w:tc>
        <w:tc>
          <w:tcPr>
            <w:tcW w:w="1084" w:type="dxa"/>
            <w:vAlign w:val="center"/>
          </w:tcPr>
          <w:p w14:paraId="783B3A82" w14:textId="028FF5E8" w:rsidR="3272F914" w:rsidRPr="00C63CE5" w:rsidRDefault="3272F914" w:rsidP="00BA0EA6">
            <w:pPr>
              <w:spacing w:before="60" w:after="60" w:line="240" w:lineRule="auto"/>
              <w:jc w:val="center"/>
              <w:rPr>
                <w:rFonts w:cstheme="minorHAnsi"/>
              </w:rPr>
            </w:pPr>
            <w:r>
              <w:rPr>
                <w:rFonts w:eastAsia="Arial" w:cstheme="minorHAnsi"/>
                <w:color w:val="000000" w:themeColor="text1"/>
                <w:lang w:val="es-PR"/>
              </w:rPr>
              <w:t>78.98%</w:t>
            </w:r>
          </w:p>
        </w:tc>
        <w:tc>
          <w:tcPr>
            <w:tcW w:w="1085" w:type="dxa"/>
            <w:vAlign w:val="center"/>
          </w:tcPr>
          <w:p w14:paraId="1C7ADEAF" w14:textId="6F358F96" w:rsidR="4EF34651" w:rsidRPr="00C63CE5" w:rsidRDefault="1E12FAA8" w:rsidP="0EFEDBEB">
            <w:pPr>
              <w:spacing w:before="60" w:after="60" w:line="240" w:lineRule="auto"/>
              <w:jc w:val="center"/>
              <w:rPr>
                <w:rFonts w:eastAsia="Arial"/>
                <w:color w:val="000000" w:themeColor="text1"/>
              </w:rPr>
            </w:pPr>
            <w:r>
              <w:rPr>
                <w:rFonts w:eastAsia="Arial"/>
                <w:color w:val="000000" w:themeColor="text1"/>
                <w:lang w:val="es-PR"/>
              </w:rPr>
              <w:t>83.56%</w:t>
            </w:r>
          </w:p>
        </w:tc>
      </w:tr>
    </w:tbl>
    <w:p w14:paraId="2CE474B4" w14:textId="77777777" w:rsidR="00CA1A38" w:rsidRDefault="00CA1A38" w:rsidP="00536341">
      <w:pPr>
        <w:spacing w:before="240" w:line="240" w:lineRule="auto"/>
        <w:rPr>
          <w:rFonts w:ascii="Calibri" w:eastAsia="Calibri" w:hAnsi="Calibri" w:cs="Calibri"/>
          <w:b/>
          <w:bCs/>
          <w:color w:val="1B75BC"/>
          <w:sz w:val="32"/>
          <w:szCs w:val="32"/>
        </w:rPr>
      </w:pPr>
    </w:p>
    <w:p w14:paraId="523C59A5" w14:textId="77777777" w:rsidR="00CA1A38" w:rsidRDefault="00CA1A38">
      <w:pPr>
        <w:rPr>
          <w:rFonts w:ascii="Calibri" w:eastAsia="Calibri" w:hAnsi="Calibri" w:cs="Calibri"/>
          <w:b/>
          <w:bCs/>
          <w:color w:val="1B75BC"/>
          <w:sz w:val="32"/>
          <w:szCs w:val="32"/>
        </w:rPr>
      </w:pPr>
      <w:r>
        <w:rPr>
          <w:rFonts w:ascii="Calibri" w:eastAsia="Calibri" w:hAnsi="Calibri" w:cs="Calibri"/>
          <w:b/>
          <w:bCs/>
          <w:color w:val="1B75BC"/>
          <w:sz w:val="32"/>
          <w:szCs w:val="32"/>
          <w:lang w:val="es-PR"/>
        </w:rPr>
        <w:br w:type="page"/>
      </w:r>
    </w:p>
    <w:p w14:paraId="3C74FF81" w14:textId="535DD835" w:rsidR="28899E29" w:rsidRPr="00C66D0B" w:rsidRDefault="28899E29" w:rsidP="00536341">
      <w:pPr>
        <w:spacing w:before="240" w:line="240" w:lineRule="auto"/>
        <w:rPr>
          <w:rFonts w:ascii="Calibri" w:eastAsia="Calibri" w:hAnsi="Calibri" w:cs="Calibri"/>
          <w:color w:val="1B75BC"/>
          <w:sz w:val="32"/>
          <w:szCs w:val="32"/>
          <w:lang w:val="es-MX"/>
        </w:rPr>
      </w:pPr>
      <w:r>
        <w:rPr>
          <w:rFonts w:ascii="Calibri" w:eastAsia="Calibri" w:hAnsi="Calibri" w:cs="Calibri"/>
          <w:b/>
          <w:bCs/>
          <w:color w:val="1B75BC"/>
          <w:sz w:val="32"/>
          <w:szCs w:val="32"/>
          <w:lang w:val="es-PR"/>
        </w:rPr>
        <w:lastRenderedPageBreak/>
        <w:t>¿Cuáles son los nuevos objetivos?</w:t>
      </w:r>
    </w:p>
    <w:p w14:paraId="7D244AFD" w14:textId="6B94DD0C" w:rsidR="28899E29" w:rsidRPr="00780D5E" w:rsidRDefault="28899E29" w:rsidP="00780D5E">
      <w:pPr>
        <w:spacing w:after="0" w:line="240" w:lineRule="auto"/>
        <w:rPr>
          <w:rFonts w:ascii="Calibri" w:eastAsia="Calibri" w:hAnsi="Calibri" w:cs="Calibri"/>
          <w:color w:val="000000" w:themeColor="text1"/>
        </w:rPr>
      </w:pPr>
      <w:r>
        <w:rPr>
          <w:rFonts w:ascii="Calibri" w:eastAsia="Calibri" w:hAnsi="Calibri" w:cs="Calibri"/>
          <w:color w:val="000000" w:themeColor="text1"/>
          <w:lang w:val="es-PR"/>
        </w:rPr>
        <w:t>El ODE no establecerá nuevos objetivos hasta que tengamos noticias de nuestros socios. Hay varias formas de establecer nuevos objetivos. Podría ser un aumento porcentual, comenzar con el final del juego en mente o examinar las tendencias a lo largo del tiempo y hacer predicciones basadas en las tendencias. Alguna información útil sobre cómo establecer objetivos:</w:t>
      </w:r>
    </w:p>
    <w:p w14:paraId="34FDC570" w14:textId="77777777" w:rsidR="00780D5E" w:rsidRPr="006E77C6" w:rsidRDefault="00780D5E" w:rsidP="00780D5E">
      <w:pPr>
        <w:pStyle w:val="ListParagraph"/>
        <w:numPr>
          <w:ilvl w:val="0"/>
          <w:numId w:val="1"/>
        </w:numPr>
        <w:spacing w:line="240" w:lineRule="auto"/>
        <w:rPr>
          <w:rFonts w:eastAsiaTheme="minorEastAsia"/>
          <w:color w:val="000000" w:themeColor="text1"/>
        </w:rPr>
      </w:pPr>
      <w:r>
        <w:rPr>
          <w:rFonts w:ascii="Calibri" w:eastAsia="Calibri" w:hAnsi="Calibri" w:cs="Calibri"/>
          <w:color w:val="000000" w:themeColor="text1"/>
          <w:lang w:val="es-PR"/>
        </w:rPr>
        <w:t>Los objetivos están destinados a respaldar mejores resultados y consecuencias para los niños y las familias. Deberían estar al alcance pero aún mostrar crecimiento. </w:t>
      </w:r>
    </w:p>
    <w:p w14:paraId="263E8FCE" w14:textId="068C27B1" w:rsidR="28899E29" w:rsidRPr="00C66D0B" w:rsidRDefault="00780D5E" w:rsidP="00780D5E">
      <w:pPr>
        <w:pStyle w:val="ListParagraph"/>
        <w:numPr>
          <w:ilvl w:val="0"/>
          <w:numId w:val="1"/>
        </w:numPr>
        <w:spacing w:line="240" w:lineRule="auto"/>
        <w:rPr>
          <w:rFonts w:eastAsiaTheme="minorEastAsia"/>
          <w:color w:val="000000" w:themeColor="text1"/>
          <w:lang w:val="es-MX"/>
        </w:rPr>
      </w:pPr>
      <w:r>
        <w:rPr>
          <w:rFonts w:ascii="Calibri" w:eastAsia="Calibri" w:hAnsi="Calibri" w:cs="Calibri"/>
          <w:color w:val="000000" w:themeColor="text1"/>
          <w:lang w:val="es-PR"/>
        </w:rPr>
        <w:t>El cambio lleva tiempo. Los objetivos se pueden crear con este entendimiento en mente. Por ejemplo, los objetivos pueden permanecer iguales durante varios años seguidos y luego mejorar ligeramente durante el año objetivo final (año fiscal 2025). Alternativamente, los objetivos podrían mostrar una ligera mejora cada año.</w:t>
      </w:r>
    </w:p>
    <w:p w14:paraId="05761B03" w14:textId="69C7E538" w:rsidR="28899E29" w:rsidRDefault="28899E29" w:rsidP="00BA0EA6">
      <w:pPr>
        <w:spacing w:before="240" w:after="12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A</w:t>
      </w:r>
    </w:p>
    <w:tbl>
      <w:tblPr>
        <w:tblStyle w:val="TableGrid"/>
        <w:tblW w:w="0" w:type="auto"/>
        <w:tblLayout w:type="fixed"/>
        <w:tblLook w:val="04A0" w:firstRow="1" w:lastRow="0" w:firstColumn="1" w:lastColumn="0" w:noHBand="0" w:noVBand="1"/>
        <w:tblCaption w:val="Ejemplo A"/>
      </w:tblPr>
      <w:tblGrid>
        <w:gridCol w:w="2425"/>
        <w:gridCol w:w="1240"/>
        <w:gridCol w:w="1241"/>
        <w:gridCol w:w="1241"/>
        <w:gridCol w:w="1241"/>
        <w:gridCol w:w="1241"/>
        <w:gridCol w:w="1241"/>
      </w:tblGrid>
      <w:tr w:rsidR="4EF34651" w14:paraId="69ACAB28" w14:textId="77777777" w:rsidTr="005C4B18">
        <w:trPr>
          <w:tblHeader/>
        </w:trPr>
        <w:tc>
          <w:tcPr>
            <w:tcW w:w="2425" w:type="dxa"/>
            <w:shd w:val="clear" w:color="auto" w:fill="70AD47" w:themeFill="accent6"/>
          </w:tcPr>
          <w:p w14:paraId="7DC7B6FF" w14:textId="0F2DF6E9"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Años fiscales</w:t>
            </w:r>
          </w:p>
        </w:tc>
        <w:tc>
          <w:tcPr>
            <w:tcW w:w="1240" w:type="dxa"/>
            <w:shd w:val="clear" w:color="auto" w:fill="70AD47" w:themeFill="accent6"/>
          </w:tcPr>
          <w:p w14:paraId="6299A54B" w14:textId="1F8F3D78" w:rsidR="4EF34651" w:rsidRDefault="05854BB8" w:rsidP="00BA0EA6">
            <w:pPr>
              <w:spacing w:before="60" w:after="60"/>
              <w:jc w:val="center"/>
              <w:rPr>
                <w:rFonts w:ascii="Calibri" w:eastAsia="Calibri" w:hAnsi="Calibri" w:cs="Calibri"/>
              </w:rPr>
            </w:pPr>
            <w:r>
              <w:rPr>
                <w:rFonts w:ascii="Calibri" w:eastAsia="Calibri" w:hAnsi="Calibri" w:cs="Calibri"/>
                <w:b/>
                <w:bCs/>
                <w:lang w:val="es-PR"/>
              </w:rPr>
              <w:t>2020</w:t>
            </w:r>
          </w:p>
        </w:tc>
        <w:tc>
          <w:tcPr>
            <w:tcW w:w="1241" w:type="dxa"/>
            <w:shd w:val="clear" w:color="auto" w:fill="70AD47" w:themeFill="accent6"/>
          </w:tcPr>
          <w:p w14:paraId="48766A83" w14:textId="668C2692"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2021</w:t>
            </w:r>
          </w:p>
        </w:tc>
        <w:tc>
          <w:tcPr>
            <w:tcW w:w="1241" w:type="dxa"/>
            <w:shd w:val="clear" w:color="auto" w:fill="70AD47" w:themeFill="accent6"/>
          </w:tcPr>
          <w:p w14:paraId="22E1BF64" w14:textId="4EF62639"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2022</w:t>
            </w:r>
          </w:p>
        </w:tc>
        <w:tc>
          <w:tcPr>
            <w:tcW w:w="1241" w:type="dxa"/>
            <w:shd w:val="clear" w:color="auto" w:fill="70AD47" w:themeFill="accent6"/>
          </w:tcPr>
          <w:p w14:paraId="6388EB27" w14:textId="1F763F9B"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2023</w:t>
            </w:r>
          </w:p>
        </w:tc>
        <w:tc>
          <w:tcPr>
            <w:tcW w:w="1241" w:type="dxa"/>
            <w:shd w:val="clear" w:color="auto" w:fill="70AD47" w:themeFill="accent6"/>
          </w:tcPr>
          <w:p w14:paraId="669DF0A5" w14:textId="2209EBB2"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2024</w:t>
            </w:r>
          </w:p>
        </w:tc>
        <w:tc>
          <w:tcPr>
            <w:tcW w:w="1241" w:type="dxa"/>
            <w:shd w:val="clear" w:color="auto" w:fill="70AD47" w:themeFill="accent6"/>
          </w:tcPr>
          <w:p w14:paraId="7FA1A41A" w14:textId="67CE4BF0"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2025</w:t>
            </w:r>
          </w:p>
        </w:tc>
      </w:tr>
      <w:tr w:rsidR="4EF34651" w14:paraId="66DA0E5A" w14:textId="77777777" w:rsidTr="00976053">
        <w:tc>
          <w:tcPr>
            <w:tcW w:w="2425" w:type="dxa"/>
          </w:tcPr>
          <w:p w14:paraId="78AE007E" w14:textId="2B9A0A65" w:rsidR="4EF34651" w:rsidRDefault="4EF34651" w:rsidP="00BA0EA6">
            <w:pPr>
              <w:spacing w:before="60" w:after="60"/>
              <w:rPr>
                <w:rFonts w:ascii="Calibri" w:eastAsia="Calibri" w:hAnsi="Calibri" w:cs="Calibri"/>
              </w:rPr>
            </w:pPr>
            <w:r>
              <w:rPr>
                <w:rFonts w:ascii="Calibri" w:hAnsi="Calibri"/>
                <w:lang w:val="es-PR"/>
              </w:rPr>
              <w:t xml:space="preserve">Objetivos para preescolar </w:t>
            </w:r>
            <w:r>
              <w:rPr>
                <w:color w:val="000000" w:themeColor="text1"/>
                <w:lang w:val="es-PR"/>
              </w:rPr>
              <w:t>≥</w:t>
            </w:r>
          </w:p>
        </w:tc>
        <w:tc>
          <w:tcPr>
            <w:tcW w:w="1240" w:type="dxa"/>
          </w:tcPr>
          <w:p w14:paraId="541AF659" w14:textId="11F8A2EA" w:rsidR="4EF34651" w:rsidRDefault="6C35AE81" w:rsidP="00BA0EA6">
            <w:pPr>
              <w:spacing w:before="60" w:after="60"/>
              <w:jc w:val="center"/>
              <w:rPr>
                <w:rFonts w:ascii="Calibri" w:eastAsia="Calibri" w:hAnsi="Calibri" w:cs="Calibri"/>
              </w:rPr>
            </w:pPr>
            <w:r>
              <w:rPr>
                <w:rFonts w:ascii="Calibri" w:eastAsia="Calibri" w:hAnsi="Calibri" w:cs="Calibri"/>
                <w:lang w:val="es-PR"/>
              </w:rPr>
              <w:t>88.99%</w:t>
            </w:r>
          </w:p>
        </w:tc>
        <w:tc>
          <w:tcPr>
            <w:tcW w:w="1241" w:type="dxa"/>
          </w:tcPr>
          <w:p w14:paraId="5DB5E479" w14:textId="09F740C4" w:rsidR="4EF34651" w:rsidRDefault="56CADF76" w:rsidP="00BA0EA6">
            <w:pPr>
              <w:spacing w:before="60" w:after="60"/>
              <w:jc w:val="center"/>
              <w:rPr>
                <w:rFonts w:ascii="Calibri" w:eastAsia="Calibri" w:hAnsi="Calibri" w:cs="Calibri"/>
              </w:rPr>
            </w:pPr>
            <w:r>
              <w:rPr>
                <w:rFonts w:ascii="Calibri" w:eastAsia="Calibri" w:hAnsi="Calibri" w:cs="Calibri"/>
                <w:lang w:val="es-PR"/>
              </w:rPr>
              <w:t>88.99%</w:t>
            </w:r>
          </w:p>
        </w:tc>
        <w:tc>
          <w:tcPr>
            <w:tcW w:w="1241" w:type="dxa"/>
          </w:tcPr>
          <w:p w14:paraId="31544437" w14:textId="7AE02EA6" w:rsidR="4EF34651" w:rsidRDefault="56CADF76" w:rsidP="00BA0EA6">
            <w:pPr>
              <w:spacing w:before="60" w:after="60"/>
              <w:jc w:val="center"/>
              <w:rPr>
                <w:rFonts w:ascii="Calibri" w:eastAsia="Calibri" w:hAnsi="Calibri" w:cs="Calibri"/>
              </w:rPr>
            </w:pPr>
            <w:r>
              <w:rPr>
                <w:rFonts w:ascii="Calibri" w:eastAsia="Calibri" w:hAnsi="Calibri" w:cs="Calibri"/>
                <w:lang w:val="es-PR"/>
              </w:rPr>
              <w:t>88.99%</w:t>
            </w:r>
          </w:p>
        </w:tc>
        <w:tc>
          <w:tcPr>
            <w:tcW w:w="1241" w:type="dxa"/>
          </w:tcPr>
          <w:p w14:paraId="43821E06" w14:textId="5A9DA678" w:rsidR="4EF34651" w:rsidRDefault="56CADF76" w:rsidP="00BA0EA6">
            <w:pPr>
              <w:spacing w:before="60" w:after="60"/>
              <w:jc w:val="center"/>
              <w:rPr>
                <w:rFonts w:ascii="Calibri" w:eastAsia="Calibri" w:hAnsi="Calibri" w:cs="Calibri"/>
              </w:rPr>
            </w:pPr>
            <w:r>
              <w:rPr>
                <w:rFonts w:ascii="Calibri" w:eastAsia="Calibri" w:hAnsi="Calibri" w:cs="Calibri"/>
                <w:lang w:val="es-PR"/>
              </w:rPr>
              <w:t>89.00%</w:t>
            </w:r>
          </w:p>
        </w:tc>
        <w:tc>
          <w:tcPr>
            <w:tcW w:w="1241" w:type="dxa"/>
          </w:tcPr>
          <w:p w14:paraId="76EEA953" w14:textId="31867536" w:rsidR="4EF34651" w:rsidRDefault="56CADF76" w:rsidP="00BA0EA6">
            <w:pPr>
              <w:spacing w:before="60" w:after="60"/>
              <w:jc w:val="center"/>
              <w:rPr>
                <w:rFonts w:ascii="Calibri" w:eastAsia="Calibri" w:hAnsi="Calibri" w:cs="Calibri"/>
              </w:rPr>
            </w:pPr>
            <w:r>
              <w:rPr>
                <w:rFonts w:ascii="Calibri" w:eastAsia="Calibri" w:hAnsi="Calibri" w:cs="Calibri"/>
                <w:lang w:val="es-PR"/>
              </w:rPr>
              <w:t>89.00%</w:t>
            </w:r>
          </w:p>
        </w:tc>
        <w:tc>
          <w:tcPr>
            <w:tcW w:w="1241" w:type="dxa"/>
          </w:tcPr>
          <w:p w14:paraId="1C90BC93" w14:textId="6A42067B" w:rsidR="4EF34651" w:rsidRDefault="174802E7" w:rsidP="00BA0EA6">
            <w:pPr>
              <w:spacing w:before="60" w:after="60"/>
              <w:jc w:val="center"/>
              <w:rPr>
                <w:rFonts w:ascii="Calibri" w:eastAsia="Calibri" w:hAnsi="Calibri" w:cs="Calibri"/>
                <w:highlight w:val="yellow"/>
              </w:rPr>
            </w:pPr>
            <w:r>
              <w:rPr>
                <w:rFonts w:ascii="Calibri" w:eastAsia="Calibri" w:hAnsi="Calibri" w:cs="Calibri"/>
                <w:lang w:val="es-PR"/>
              </w:rPr>
              <w:t>89.00%</w:t>
            </w:r>
          </w:p>
        </w:tc>
      </w:tr>
      <w:tr w:rsidR="4EF34651" w14:paraId="583B82A2" w14:textId="77777777" w:rsidTr="00976053">
        <w:tc>
          <w:tcPr>
            <w:tcW w:w="2425" w:type="dxa"/>
          </w:tcPr>
          <w:p w14:paraId="1847239C" w14:textId="1F928694" w:rsidR="4EF34651" w:rsidRPr="00C66D0B" w:rsidRDefault="4EF34651" w:rsidP="00BA0EA6">
            <w:pPr>
              <w:spacing w:before="60" w:after="60"/>
              <w:rPr>
                <w:rFonts w:ascii="Calibri" w:eastAsia="Calibri" w:hAnsi="Calibri" w:cs="Calibri"/>
                <w:lang w:val="es-MX"/>
              </w:rPr>
            </w:pPr>
            <w:r>
              <w:rPr>
                <w:rFonts w:ascii="Calibri" w:hAnsi="Calibri"/>
                <w:lang w:val="es-PR"/>
              </w:rPr>
              <w:t xml:space="preserve">Objetivos para la edad escolar </w:t>
            </w:r>
            <w:r>
              <w:rPr>
                <w:color w:val="000000" w:themeColor="text1"/>
                <w:lang w:val="es-PR"/>
              </w:rPr>
              <w:t>≥</w:t>
            </w:r>
          </w:p>
        </w:tc>
        <w:tc>
          <w:tcPr>
            <w:tcW w:w="1240" w:type="dxa"/>
          </w:tcPr>
          <w:p w14:paraId="778E27DA" w14:textId="6C5B3C1F" w:rsidR="4EF34651" w:rsidRDefault="0C322520" w:rsidP="00BA0EA6">
            <w:pPr>
              <w:spacing w:before="60" w:after="60"/>
              <w:jc w:val="center"/>
              <w:rPr>
                <w:rFonts w:ascii="Calibri" w:eastAsia="Calibri" w:hAnsi="Calibri" w:cs="Calibri"/>
              </w:rPr>
            </w:pPr>
            <w:r>
              <w:rPr>
                <w:rFonts w:ascii="Calibri" w:eastAsia="Calibri" w:hAnsi="Calibri" w:cs="Calibri"/>
                <w:lang w:val="es-PR"/>
              </w:rPr>
              <w:t>83.56%</w:t>
            </w:r>
          </w:p>
        </w:tc>
        <w:tc>
          <w:tcPr>
            <w:tcW w:w="1241" w:type="dxa"/>
          </w:tcPr>
          <w:p w14:paraId="555694E1" w14:textId="15100760" w:rsidR="4EF34651" w:rsidRDefault="48BEA9FF" w:rsidP="00BA0EA6">
            <w:pPr>
              <w:spacing w:before="60" w:after="60"/>
              <w:jc w:val="center"/>
              <w:rPr>
                <w:rFonts w:ascii="Calibri" w:eastAsia="Calibri" w:hAnsi="Calibri" w:cs="Calibri"/>
              </w:rPr>
            </w:pPr>
            <w:r>
              <w:rPr>
                <w:rFonts w:ascii="Calibri" w:eastAsia="Calibri" w:hAnsi="Calibri" w:cs="Calibri"/>
                <w:lang w:val="es-PR"/>
              </w:rPr>
              <w:t>84.05%</w:t>
            </w:r>
          </w:p>
        </w:tc>
        <w:tc>
          <w:tcPr>
            <w:tcW w:w="1241" w:type="dxa"/>
          </w:tcPr>
          <w:p w14:paraId="2AD6282A" w14:textId="4C1E9C5A" w:rsidR="4EF34651" w:rsidRDefault="48BEA9FF" w:rsidP="00BA0EA6">
            <w:pPr>
              <w:spacing w:before="60" w:after="60"/>
              <w:jc w:val="center"/>
              <w:rPr>
                <w:rFonts w:ascii="Calibri" w:eastAsia="Calibri" w:hAnsi="Calibri" w:cs="Calibri"/>
              </w:rPr>
            </w:pPr>
            <w:r>
              <w:rPr>
                <w:rFonts w:ascii="Calibri" w:eastAsia="Calibri" w:hAnsi="Calibri" w:cs="Calibri"/>
                <w:lang w:val="es-PR"/>
              </w:rPr>
              <w:t>84.54%</w:t>
            </w:r>
          </w:p>
        </w:tc>
        <w:tc>
          <w:tcPr>
            <w:tcW w:w="1241" w:type="dxa"/>
          </w:tcPr>
          <w:p w14:paraId="0D28F132" w14:textId="674D9D7C" w:rsidR="4EF34651" w:rsidRDefault="48BEA9FF" w:rsidP="00BA0EA6">
            <w:pPr>
              <w:spacing w:before="60" w:after="60"/>
              <w:jc w:val="center"/>
              <w:rPr>
                <w:rFonts w:ascii="Calibri" w:eastAsia="Calibri" w:hAnsi="Calibri" w:cs="Calibri"/>
              </w:rPr>
            </w:pPr>
            <w:r>
              <w:rPr>
                <w:rFonts w:ascii="Calibri" w:eastAsia="Calibri" w:hAnsi="Calibri" w:cs="Calibri"/>
                <w:lang w:val="es-PR"/>
              </w:rPr>
              <w:t>85.02%</w:t>
            </w:r>
          </w:p>
        </w:tc>
        <w:tc>
          <w:tcPr>
            <w:tcW w:w="1241" w:type="dxa"/>
          </w:tcPr>
          <w:p w14:paraId="093F8A99" w14:textId="62F5136B" w:rsidR="4EF34651" w:rsidRDefault="48BEA9FF" w:rsidP="00BA0EA6">
            <w:pPr>
              <w:spacing w:before="60" w:after="60"/>
              <w:jc w:val="center"/>
              <w:rPr>
                <w:rFonts w:ascii="Calibri" w:eastAsia="Calibri" w:hAnsi="Calibri" w:cs="Calibri"/>
              </w:rPr>
            </w:pPr>
            <w:r>
              <w:rPr>
                <w:rFonts w:ascii="Calibri" w:eastAsia="Calibri" w:hAnsi="Calibri" w:cs="Calibri"/>
                <w:lang w:val="es-PR"/>
              </w:rPr>
              <w:t>85.51%</w:t>
            </w:r>
          </w:p>
        </w:tc>
        <w:tc>
          <w:tcPr>
            <w:tcW w:w="1241" w:type="dxa"/>
          </w:tcPr>
          <w:p w14:paraId="24C30D4B" w14:textId="0C83CB4A" w:rsidR="4EF34651" w:rsidRDefault="326E5401" w:rsidP="00BA0EA6">
            <w:pPr>
              <w:spacing w:before="60" w:after="60"/>
              <w:jc w:val="center"/>
              <w:rPr>
                <w:rFonts w:ascii="Calibri" w:eastAsia="Calibri" w:hAnsi="Calibri" w:cs="Calibri"/>
              </w:rPr>
            </w:pPr>
            <w:r>
              <w:rPr>
                <w:rFonts w:ascii="Calibri" w:eastAsia="Calibri" w:hAnsi="Calibri" w:cs="Calibri"/>
                <w:lang w:val="es-PR"/>
              </w:rPr>
              <w:t>86.00%</w:t>
            </w:r>
          </w:p>
        </w:tc>
      </w:tr>
    </w:tbl>
    <w:p w14:paraId="7B353ED9" w14:textId="3CDF6858" w:rsidR="28899E29" w:rsidRPr="00C66D0B" w:rsidRDefault="28899E29" w:rsidP="00BA0EA6">
      <w:pPr>
        <w:spacing w:before="120" w:after="120" w:line="240" w:lineRule="auto"/>
        <w:rPr>
          <w:rFonts w:ascii="Calibri" w:eastAsia="Calibri" w:hAnsi="Calibri" w:cs="Calibri"/>
          <w:color w:val="000000" w:themeColor="text1"/>
          <w:sz w:val="24"/>
          <w:szCs w:val="24"/>
          <w:lang w:val="es-MX"/>
        </w:rPr>
      </w:pPr>
      <w:r>
        <w:rPr>
          <w:rFonts w:ascii="Calibri" w:eastAsia="Calibri" w:hAnsi="Calibri" w:cs="Calibri"/>
          <w:color w:val="000000" w:themeColor="text1"/>
          <w:sz w:val="24"/>
          <w:szCs w:val="24"/>
          <w:lang w:val="es-PR"/>
        </w:rPr>
        <w:t>El ejemplo A muestra un aumento gradual.</w:t>
      </w:r>
    </w:p>
    <w:p w14:paraId="54D3DAC2" w14:textId="52D726F3" w:rsidR="28899E29" w:rsidRDefault="28899E29" w:rsidP="00BA0EA6">
      <w:pPr>
        <w:spacing w:before="240" w:after="0" w:line="240" w:lineRule="auto"/>
        <w:rPr>
          <w:rFonts w:ascii="Calibri" w:eastAsia="Calibri" w:hAnsi="Calibri" w:cs="Calibri"/>
          <w:color w:val="408740"/>
          <w:sz w:val="24"/>
          <w:szCs w:val="24"/>
        </w:rPr>
      </w:pPr>
      <w:r>
        <w:rPr>
          <w:rFonts w:ascii="Calibri" w:eastAsia="Calibri" w:hAnsi="Calibri" w:cs="Calibri"/>
          <w:b/>
          <w:bCs/>
          <w:color w:val="408740"/>
          <w:sz w:val="24"/>
          <w:szCs w:val="24"/>
          <w:lang w:val="es-PR"/>
        </w:rPr>
        <w:t>Ejemplo B</w:t>
      </w:r>
    </w:p>
    <w:tbl>
      <w:tblPr>
        <w:tblStyle w:val="TableGrid"/>
        <w:tblW w:w="0" w:type="auto"/>
        <w:tblLayout w:type="fixed"/>
        <w:tblLook w:val="04A0" w:firstRow="1" w:lastRow="0" w:firstColumn="1" w:lastColumn="0" w:noHBand="0" w:noVBand="1"/>
        <w:tblCaption w:val="Ejemplo B"/>
      </w:tblPr>
      <w:tblGrid>
        <w:gridCol w:w="2425"/>
        <w:gridCol w:w="1240"/>
        <w:gridCol w:w="1241"/>
        <w:gridCol w:w="1241"/>
        <w:gridCol w:w="1241"/>
        <w:gridCol w:w="1241"/>
        <w:gridCol w:w="1241"/>
      </w:tblGrid>
      <w:tr w:rsidR="4EF34651" w14:paraId="23CDC24E" w14:textId="77777777" w:rsidTr="005C4B18">
        <w:trPr>
          <w:tblHeader/>
        </w:trPr>
        <w:tc>
          <w:tcPr>
            <w:tcW w:w="2425" w:type="dxa"/>
            <w:shd w:val="clear" w:color="auto" w:fill="5B9BD5" w:themeFill="accent5"/>
          </w:tcPr>
          <w:p w14:paraId="4904642F" w14:textId="368DCF96" w:rsidR="4EF34651" w:rsidRDefault="4EF34651" w:rsidP="00BA0EA6">
            <w:pPr>
              <w:spacing w:before="60" w:after="60"/>
              <w:jc w:val="center"/>
              <w:rPr>
                <w:rFonts w:ascii="Calibri" w:eastAsia="Calibri" w:hAnsi="Calibri" w:cs="Calibri"/>
              </w:rPr>
            </w:pPr>
            <w:bookmarkStart w:id="0" w:name="_GoBack" w:colFirst="0" w:colLast="7"/>
            <w:r>
              <w:rPr>
                <w:rFonts w:ascii="Calibri" w:eastAsia="Calibri" w:hAnsi="Calibri" w:cs="Calibri"/>
                <w:b/>
                <w:bCs/>
                <w:lang w:val="es-PR"/>
              </w:rPr>
              <w:t>Años fiscales</w:t>
            </w:r>
          </w:p>
        </w:tc>
        <w:tc>
          <w:tcPr>
            <w:tcW w:w="1240" w:type="dxa"/>
            <w:shd w:val="clear" w:color="auto" w:fill="5B9BD5" w:themeFill="accent5"/>
          </w:tcPr>
          <w:p w14:paraId="44FA6CFB" w14:textId="22C372BD" w:rsidR="4EF34651" w:rsidRDefault="05854BB8" w:rsidP="00BA0EA6">
            <w:pPr>
              <w:spacing w:before="60" w:after="60"/>
              <w:jc w:val="center"/>
              <w:rPr>
                <w:rFonts w:ascii="Calibri" w:eastAsia="Calibri" w:hAnsi="Calibri" w:cs="Calibri"/>
              </w:rPr>
            </w:pPr>
            <w:r>
              <w:rPr>
                <w:rFonts w:ascii="Calibri" w:eastAsia="Calibri" w:hAnsi="Calibri" w:cs="Calibri"/>
                <w:b/>
                <w:bCs/>
                <w:lang w:val="es-PR"/>
              </w:rPr>
              <w:t>2020</w:t>
            </w:r>
          </w:p>
        </w:tc>
        <w:tc>
          <w:tcPr>
            <w:tcW w:w="1241" w:type="dxa"/>
            <w:shd w:val="clear" w:color="auto" w:fill="5B9BD5" w:themeFill="accent5"/>
          </w:tcPr>
          <w:p w14:paraId="5EA38974" w14:textId="0E33F04A"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2021</w:t>
            </w:r>
          </w:p>
        </w:tc>
        <w:tc>
          <w:tcPr>
            <w:tcW w:w="1241" w:type="dxa"/>
            <w:shd w:val="clear" w:color="auto" w:fill="5B9BD5" w:themeFill="accent5"/>
          </w:tcPr>
          <w:p w14:paraId="14F41943" w14:textId="2A0254F2"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2022</w:t>
            </w:r>
          </w:p>
        </w:tc>
        <w:tc>
          <w:tcPr>
            <w:tcW w:w="1241" w:type="dxa"/>
            <w:shd w:val="clear" w:color="auto" w:fill="5B9BD5" w:themeFill="accent5"/>
          </w:tcPr>
          <w:p w14:paraId="162F9204" w14:textId="2F290BE3"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2023</w:t>
            </w:r>
          </w:p>
        </w:tc>
        <w:tc>
          <w:tcPr>
            <w:tcW w:w="1241" w:type="dxa"/>
            <w:shd w:val="clear" w:color="auto" w:fill="5B9BD5" w:themeFill="accent5"/>
          </w:tcPr>
          <w:p w14:paraId="63D4A56E" w14:textId="6D3C66D6"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2024</w:t>
            </w:r>
          </w:p>
        </w:tc>
        <w:tc>
          <w:tcPr>
            <w:tcW w:w="1241" w:type="dxa"/>
            <w:shd w:val="clear" w:color="auto" w:fill="5B9BD5" w:themeFill="accent5"/>
          </w:tcPr>
          <w:p w14:paraId="53C45C73" w14:textId="65EA2BCA" w:rsidR="4EF34651" w:rsidRDefault="4EF34651" w:rsidP="00BA0EA6">
            <w:pPr>
              <w:spacing w:before="60" w:after="60"/>
              <w:jc w:val="center"/>
              <w:rPr>
                <w:rFonts w:ascii="Calibri" w:eastAsia="Calibri" w:hAnsi="Calibri" w:cs="Calibri"/>
              </w:rPr>
            </w:pPr>
            <w:r>
              <w:rPr>
                <w:rFonts w:ascii="Calibri" w:eastAsia="Calibri" w:hAnsi="Calibri" w:cs="Calibri"/>
                <w:b/>
                <w:bCs/>
                <w:lang w:val="es-PR"/>
              </w:rPr>
              <w:t>2025</w:t>
            </w:r>
          </w:p>
        </w:tc>
      </w:tr>
      <w:bookmarkEnd w:id="0"/>
      <w:tr w:rsidR="4EF34651" w14:paraId="124BBAC7" w14:textId="77777777" w:rsidTr="00976053">
        <w:tc>
          <w:tcPr>
            <w:tcW w:w="2425" w:type="dxa"/>
          </w:tcPr>
          <w:p w14:paraId="56A3E17E" w14:textId="2C18F8F9" w:rsidR="4EF34651" w:rsidRDefault="4EF34651" w:rsidP="00BA0EA6">
            <w:pPr>
              <w:spacing w:before="60" w:after="60"/>
              <w:rPr>
                <w:rFonts w:ascii="Calibri" w:eastAsia="Calibri" w:hAnsi="Calibri" w:cs="Calibri"/>
              </w:rPr>
            </w:pPr>
            <w:r>
              <w:rPr>
                <w:rFonts w:ascii="Calibri" w:hAnsi="Calibri"/>
                <w:lang w:val="es-PR"/>
              </w:rPr>
              <w:t xml:space="preserve">Objetivos para preescolar </w:t>
            </w:r>
            <w:r>
              <w:rPr>
                <w:color w:val="000000" w:themeColor="text1"/>
                <w:lang w:val="es-PR"/>
              </w:rPr>
              <w:t>≥</w:t>
            </w:r>
          </w:p>
        </w:tc>
        <w:tc>
          <w:tcPr>
            <w:tcW w:w="1240" w:type="dxa"/>
          </w:tcPr>
          <w:p w14:paraId="04190129" w14:textId="5AAFFA78" w:rsidR="4EF34651" w:rsidRDefault="496069B2" w:rsidP="00BA0EA6">
            <w:pPr>
              <w:spacing w:before="60" w:after="60"/>
              <w:jc w:val="center"/>
              <w:rPr>
                <w:rFonts w:ascii="Calibri" w:eastAsia="Calibri" w:hAnsi="Calibri" w:cs="Calibri"/>
              </w:rPr>
            </w:pPr>
            <w:r>
              <w:rPr>
                <w:rFonts w:ascii="Calibri" w:eastAsia="Calibri" w:hAnsi="Calibri" w:cs="Calibri"/>
                <w:lang w:val="es-PR"/>
              </w:rPr>
              <w:t>88.99%</w:t>
            </w:r>
          </w:p>
        </w:tc>
        <w:tc>
          <w:tcPr>
            <w:tcW w:w="1241" w:type="dxa"/>
          </w:tcPr>
          <w:p w14:paraId="187D9AAE" w14:textId="4B2D3C8E" w:rsidR="4EF34651" w:rsidRDefault="2AC75235" w:rsidP="00BA0EA6">
            <w:pPr>
              <w:spacing w:before="60" w:after="60"/>
              <w:jc w:val="center"/>
              <w:rPr>
                <w:rFonts w:ascii="Calibri" w:eastAsia="Calibri" w:hAnsi="Calibri" w:cs="Calibri"/>
              </w:rPr>
            </w:pPr>
            <w:r>
              <w:rPr>
                <w:rFonts w:ascii="Calibri" w:eastAsia="Calibri" w:hAnsi="Calibri" w:cs="Calibri"/>
                <w:lang w:val="es-PR"/>
              </w:rPr>
              <w:t>89.39%</w:t>
            </w:r>
          </w:p>
        </w:tc>
        <w:tc>
          <w:tcPr>
            <w:tcW w:w="1241" w:type="dxa"/>
          </w:tcPr>
          <w:p w14:paraId="0464BB12" w14:textId="4243C826" w:rsidR="4EF34651" w:rsidRDefault="2AC75235" w:rsidP="00BA0EA6">
            <w:pPr>
              <w:spacing w:before="60" w:after="60"/>
              <w:jc w:val="center"/>
              <w:rPr>
                <w:rFonts w:ascii="Calibri" w:eastAsia="Calibri" w:hAnsi="Calibri" w:cs="Calibri"/>
              </w:rPr>
            </w:pPr>
            <w:r>
              <w:rPr>
                <w:rFonts w:ascii="Calibri" w:eastAsia="Calibri" w:hAnsi="Calibri" w:cs="Calibri"/>
                <w:lang w:val="es-PR"/>
              </w:rPr>
              <w:t>89.79%</w:t>
            </w:r>
          </w:p>
        </w:tc>
        <w:tc>
          <w:tcPr>
            <w:tcW w:w="1241" w:type="dxa"/>
          </w:tcPr>
          <w:p w14:paraId="54C42B9A" w14:textId="4CFA131A" w:rsidR="4EF34651" w:rsidRDefault="2AC75235" w:rsidP="00BA0EA6">
            <w:pPr>
              <w:spacing w:before="60" w:after="60"/>
              <w:jc w:val="center"/>
              <w:rPr>
                <w:rFonts w:ascii="Calibri" w:eastAsia="Calibri" w:hAnsi="Calibri" w:cs="Calibri"/>
              </w:rPr>
            </w:pPr>
            <w:r>
              <w:rPr>
                <w:rFonts w:ascii="Calibri" w:eastAsia="Calibri" w:hAnsi="Calibri" w:cs="Calibri"/>
                <w:lang w:val="es-PR"/>
              </w:rPr>
              <w:t>90.20%</w:t>
            </w:r>
          </w:p>
        </w:tc>
        <w:tc>
          <w:tcPr>
            <w:tcW w:w="1241" w:type="dxa"/>
          </w:tcPr>
          <w:p w14:paraId="2170227D" w14:textId="32F58E3F" w:rsidR="4EF34651" w:rsidRDefault="2AC75235" w:rsidP="00BA0EA6">
            <w:pPr>
              <w:spacing w:before="60" w:after="60"/>
              <w:jc w:val="center"/>
              <w:rPr>
                <w:rFonts w:ascii="Calibri" w:eastAsia="Calibri" w:hAnsi="Calibri" w:cs="Calibri"/>
              </w:rPr>
            </w:pPr>
            <w:r>
              <w:rPr>
                <w:rFonts w:ascii="Calibri" w:eastAsia="Calibri" w:hAnsi="Calibri" w:cs="Calibri"/>
                <w:lang w:val="es-PR"/>
              </w:rPr>
              <w:t>90.60%</w:t>
            </w:r>
          </w:p>
        </w:tc>
        <w:tc>
          <w:tcPr>
            <w:tcW w:w="1241" w:type="dxa"/>
          </w:tcPr>
          <w:p w14:paraId="06C0B568" w14:textId="21506FC2" w:rsidR="4EF34651" w:rsidRDefault="67D8F31E" w:rsidP="00BA0EA6">
            <w:pPr>
              <w:spacing w:before="60" w:after="60"/>
              <w:jc w:val="center"/>
              <w:rPr>
                <w:rFonts w:ascii="Calibri" w:eastAsia="Calibri" w:hAnsi="Calibri" w:cs="Calibri"/>
              </w:rPr>
            </w:pPr>
            <w:r>
              <w:rPr>
                <w:rFonts w:ascii="Calibri" w:eastAsia="Calibri" w:hAnsi="Calibri" w:cs="Calibri"/>
                <w:lang w:val="es-PR"/>
              </w:rPr>
              <w:t>91.00%</w:t>
            </w:r>
          </w:p>
        </w:tc>
      </w:tr>
      <w:tr w:rsidR="4EF34651" w14:paraId="0F04087D" w14:textId="77777777" w:rsidTr="00976053">
        <w:tc>
          <w:tcPr>
            <w:tcW w:w="2425" w:type="dxa"/>
          </w:tcPr>
          <w:p w14:paraId="67DBD4BC" w14:textId="51280463" w:rsidR="4EF34651" w:rsidRPr="00C66D0B" w:rsidRDefault="4EF34651" w:rsidP="00BA0EA6">
            <w:pPr>
              <w:spacing w:before="60" w:after="60"/>
              <w:rPr>
                <w:rFonts w:ascii="Calibri" w:eastAsia="Calibri" w:hAnsi="Calibri" w:cs="Calibri"/>
                <w:lang w:val="es-MX"/>
              </w:rPr>
            </w:pPr>
            <w:r>
              <w:rPr>
                <w:rFonts w:ascii="Calibri" w:hAnsi="Calibri"/>
                <w:lang w:val="es-PR"/>
              </w:rPr>
              <w:t xml:space="preserve">Objetivos para la edad escolar </w:t>
            </w:r>
            <w:r>
              <w:rPr>
                <w:color w:val="000000" w:themeColor="text1"/>
                <w:lang w:val="es-PR"/>
              </w:rPr>
              <w:t>≥</w:t>
            </w:r>
          </w:p>
        </w:tc>
        <w:tc>
          <w:tcPr>
            <w:tcW w:w="1240" w:type="dxa"/>
          </w:tcPr>
          <w:p w14:paraId="4C970D78" w14:textId="569A6EC5" w:rsidR="4EF34651" w:rsidRDefault="54B0F1B5" w:rsidP="00BA0EA6">
            <w:pPr>
              <w:spacing w:before="60" w:after="60"/>
              <w:jc w:val="center"/>
              <w:rPr>
                <w:rFonts w:ascii="Calibri" w:eastAsia="Calibri" w:hAnsi="Calibri" w:cs="Calibri"/>
              </w:rPr>
            </w:pPr>
            <w:r>
              <w:rPr>
                <w:rFonts w:ascii="Calibri" w:eastAsia="Calibri" w:hAnsi="Calibri" w:cs="Calibri"/>
                <w:lang w:val="es-PR"/>
              </w:rPr>
              <w:t>83.56%</w:t>
            </w:r>
          </w:p>
        </w:tc>
        <w:tc>
          <w:tcPr>
            <w:tcW w:w="1241" w:type="dxa"/>
          </w:tcPr>
          <w:p w14:paraId="31B5678C" w14:textId="30C2E963" w:rsidR="4EF34651" w:rsidRDefault="5833D34A" w:rsidP="00BA0EA6">
            <w:pPr>
              <w:spacing w:before="60" w:after="60"/>
              <w:jc w:val="center"/>
              <w:rPr>
                <w:rFonts w:ascii="Calibri" w:eastAsia="Calibri" w:hAnsi="Calibri" w:cs="Calibri"/>
              </w:rPr>
            </w:pPr>
            <w:r>
              <w:rPr>
                <w:rFonts w:ascii="Calibri" w:eastAsia="Calibri" w:hAnsi="Calibri" w:cs="Calibri"/>
                <w:lang w:val="es-PR"/>
              </w:rPr>
              <w:t>84.45%</w:t>
            </w:r>
          </w:p>
        </w:tc>
        <w:tc>
          <w:tcPr>
            <w:tcW w:w="1241" w:type="dxa"/>
          </w:tcPr>
          <w:p w14:paraId="4C835354" w14:textId="4DDB70A3" w:rsidR="4EF34651" w:rsidRDefault="5833D34A" w:rsidP="00BA0EA6">
            <w:pPr>
              <w:spacing w:before="60" w:after="60"/>
              <w:jc w:val="center"/>
              <w:rPr>
                <w:rFonts w:ascii="Calibri" w:eastAsia="Calibri" w:hAnsi="Calibri" w:cs="Calibri"/>
              </w:rPr>
            </w:pPr>
            <w:r>
              <w:rPr>
                <w:rFonts w:ascii="Calibri" w:eastAsia="Calibri" w:hAnsi="Calibri" w:cs="Calibri"/>
                <w:lang w:val="es-PR"/>
              </w:rPr>
              <w:t>85.34%</w:t>
            </w:r>
          </w:p>
        </w:tc>
        <w:tc>
          <w:tcPr>
            <w:tcW w:w="1241" w:type="dxa"/>
          </w:tcPr>
          <w:p w14:paraId="0DA52369" w14:textId="3EDDF2C9" w:rsidR="4EF34651" w:rsidRDefault="5833D34A" w:rsidP="00BA0EA6">
            <w:pPr>
              <w:spacing w:before="60" w:after="60"/>
              <w:jc w:val="center"/>
              <w:rPr>
                <w:rFonts w:ascii="Calibri" w:eastAsia="Calibri" w:hAnsi="Calibri" w:cs="Calibri"/>
              </w:rPr>
            </w:pPr>
            <w:r>
              <w:rPr>
                <w:rFonts w:ascii="Calibri" w:eastAsia="Calibri" w:hAnsi="Calibri" w:cs="Calibri"/>
                <w:lang w:val="es-PR"/>
              </w:rPr>
              <w:t>86.22%</w:t>
            </w:r>
          </w:p>
        </w:tc>
        <w:tc>
          <w:tcPr>
            <w:tcW w:w="1241" w:type="dxa"/>
          </w:tcPr>
          <w:p w14:paraId="14313ACC" w14:textId="6A74E4A1" w:rsidR="4EF34651" w:rsidRDefault="5833D34A" w:rsidP="00BA0EA6">
            <w:pPr>
              <w:spacing w:before="60" w:after="60"/>
              <w:jc w:val="center"/>
              <w:rPr>
                <w:rFonts w:ascii="Calibri" w:eastAsia="Calibri" w:hAnsi="Calibri" w:cs="Calibri"/>
              </w:rPr>
            </w:pPr>
            <w:r>
              <w:rPr>
                <w:rFonts w:ascii="Calibri" w:eastAsia="Calibri" w:hAnsi="Calibri" w:cs="Calibri"/>
                <w:lang w:val="es-PR"/>
              </w:rPr>
              <w:t>87.11%</w:t>
            </w:r>
          </w:p>
        </w:tc>
        <w:tc>
          <w:tcPr>
            <w:tcW w:w="1241" w:type="dxa"/>
          </w:tcPr>
          <w:p w14:paraId="1649E5FD" w14:textId="20CFB7B5" w:rsidR="4EF34651" w:rsidRDefault="303BD099" w:rsidP="00BA0EA6">
            <w:pPr>
              <w:spacing w:before="60" w:after="60"/>
              <w:jc w:val="center"/>
              <w:rPr>
                <w:rFonts w:ascii="Calibri" w:eastAsia="Calibri" w:hAnsi="Calibri" w:cs="Calibri"/>
              </w:rPr>
            </w:pPr>
            <w:r>
              <w:rPr>
                <w:rFonts w:ascii="Calibri" w:eastAsia="Calibri" w:hAnsi="Calibri" w:cs="Calibri"/>
                <w:lang w:val="es-PR"/>
              </w:rPr>
              <w:t>88.00%</w:t>
            </w:r>
          </w:p>
        </w:tc>
      </w:tr>
    </w:tbl>
    <w:p w14:paraId="21091F42" w14:textId="07E48D9F" w:rsidR="28899E29" w:rsidRPr="00C66D0B" w:rsidRDefault="28899E29" w:rsidP="00BA0EA6">
      <w:pPr>
        <w:spacing w:before="120" w:line="240" w:lineRule="auto"/>
        <w:rPr>
          <w:rFonts w:ascii="Calibri" w:eastAsia="Calibri" w:hAnsi="Calibri" w:cs="Calibri"/>
          <w:color w:val="000000" w:themeColor="text1"/>
          <w:sz w:val="24"/>
          <w:szCs w:val="24"/>
          <w:lang w:val="es-MX"/>
        </w:rPr>
      </w:pPr>
      <w:r>
        <w:rPr>
          <w:rFonts w:ascii="Calibri" w:eastAsia="Calibri" w:hAnsi="Calibri" w:cs="Calibri"/>
          <w:color w:val="000000" w:themeColor="text1"/>
          <w:sz w:val="24"/>
          <w:szCs w:val="24"/>
          <w:lang w:val="es-PR"/>
        </w:rPr>
        <w:t>El ejemplo B muestra más crecimiento.</w:t>
      </w:r>
    </w:p>
    <w:p w14:paraId="2314DD87" w14:textId="77777777" w:rsidR="00BA0EA6" w:rsidRPr="00C66D0B" w:rsidRDefault="1BE5ED5B" w:rsidP="00322178">
      <w:pPr>
        <w:spacing w:before="240" w:after="0" w:line="240" w:lineRule="auto"/>
        <w:jc w:val="center"/>
        <w:rPr>
          <w:rFonts w:ascii="Calibri" w:eastAsia="Calibri" w:hAnsi="Calibri" w:cs="Calibri"/>
          <w:b/>
          <w:bCs/>
          <w:color w:val="407641"/>
          <w:lang w:val="es-MX"/>
        </w:rPr>
      </w:pPr>
      <w:r>
        <w:rPr>
          <w:rFonts w:ascii="Calibri" w:eastAsia="Calibri" w:hAnsi="Calibri" w:cs="Calibri"/>
          <w:b/>
          <w:bCs/>
          <w:color w:val="407641"/>
          <w:lang w:val="es-PR"/>
        </w:rPr>
        <w:t>Si necesita más información para proporcionar su opinión, comuníquese con:</w:t>
      </w:r>
    </w:p>
    <w:p w14:paraId="4EBEBB08" w14:textId="6039C3AE" w:rsidR="28899E29" w:rsidRPr="00C66D0B" w:rsidRDefault="1BE5ED5B" w:rsidP="00216312">
      <w:pPr>
        <w:spacing w:after="0" w:line="240" w:lineRule="auto"/>
        <w:jc w:val="center"/>
        <w:rPr>
          <w:rFonts w:ascii="Calibri" w:eastAsia="Calibri" w:hAnsi="Calibri" w:cs="Calibri"/>
          <w:b/>
          <w:bCs/>
          <w:color w:val="000000" w:themeColor="text1"/>
          <w:lang w:val="es-MX"/>
        </w:rPr>
      </w:pPr>
      <w:r>
        <w:rPr>
          <w:rFonts w:ascii="Calibri" w:eastAsia="Calibri" w:hAnsi="Calibri" w:cs="Calibri"/>
          <w:b/>
          <w:bCs/>
          <w:color w:val="407641"/>
          <w:lang w:val="es-PR"/>
        </w:rPr>
        <w:t>Brad Lenhardt, especialista en educación, en</w:t>
      </w:r>
      <w:hyperlink r:id="rId15">
        <w:r>
          <w:rPr>
            <w:rStyle w:val="Hyperlink"/>
            <w:rFonts w:ascii="Calibri" w:eastAsia="Calibri" w:hAnsi="Calibri" w:cs="Calibri"/>
            <w:b/>
            <w:bCs/>
            <w:lang w:val="es-PR"/>
          </w:rPr>
          <w:t>brad.lenhardt@state.or.us</w:t>
        </w:r>
      </w:hyperlink>
      <w:r>
        <w:rPr>
          <w:b/>
          <w:bCs/>
          <w:lang w:val="es-PR"/>
        </w:rPr>
        <w:t>.</w:t>
      </w:r>
    </w:p>
    <w:p w14:paraId="29E9259D" w14:textId="0441139D" w:rsidR="28899E29" w:rsidRPr="00C66D0B" w:rsidRDefault="28899E29" w:rsidP="00216312">
      <w:pPr>
        <w:spacing w:line="240" w:lineRule="auto"/>
        <w:rPr>
          <w:rFonts w:ascii="Calibri" w:eastAsia="Calibri" w:hAnsi="Calibri" w:cs="Calibri"/>
          <w:color w:val="000000" w:themeColor="text1"/>
          <w:sz w:val="24"/>
          <w:szCs w:val="24"/>
          <w:lang w:val="es-MX"/>
        </w:rPr>
      </w:pPr>
    </w:p>
    <w:p w14:paraId="18040AEF" w14:textId="6F97B68E" w:rsidR="28899E29" w:rsidRPr="00C66D0B" w:rsidRDefault="28899E29" w:rsidP="00216312">
      <w:pPr>
        <w:spacing w:line="240" w:lineRule="auto"/>
        <w:rPr>
          <w:rFonts w:ascii="Calibri" w:eastAsia="Calibri" w:hAnsi="Calibri" w:cs="Calibri"/>
          <w:color w:val="000000" w:themeColor="text1"/>
          <w:sz w:val="24"/>
          <w:szCs w:val="24"/>
          <w:lang w:val="es-MX"/>
        </w:rPr>
      </w:pPr>
    </w:p>
    <w:p w14:paraId="7DCA4996" w14:textId="05499B2B" w:rsidR="4EF34651" w:rsidRPr="00C66D0B" w:rsidRDefault="4EF34651" w:rsidP="00216312">
      <w:pPr>
        <w:spacing w:line="240" w:lineRule="auto"/>
        <w:rPr>
          <w:rFonts w:ascii="Calibri" w:eastAsia="Calibri" w:hAnsi="Calibri" w:cs="Calibri"/>
          <w:color w:val="408740"/>
          <w:sz w:val="24"/>
          <w:szCs w:val="24"/>
          <w:lang w:val="es-MX"/>
        </w:rPr>
      </w:pPr>
    </w:p>
    <w:p w14:paraId="786E1907" w14:textId="1AD9CA99" w:rsidR="4EF34651" w:rsidRPr="00C66D0B" w:rsidRDefault="4EF34651" w:rsidP="00216312">
      <w:pPr>
        <w:spacing w:line="240" w:lineRule="auto"/>
        <w:rPr>
          <w:color w:val="000000" w:themeColor="text1"/>
          <w:sz w:val="24"/>
          <w:szCs w:val="24"/>
          <w:lang w:val="es-MX"/>
        </w:rPr>
      </w:pPr>
    </w:p>
    <w:sectPr w:rsidR="4EF34651" w:rsidRPr="00C66D0B">
      <w:footerReference w:type="default" r:id="rId1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C40CD" w14:textId="77777777" w:rsidR="00C777B3" w:rsidRDefault="00C777B3" w:rsidP="00A015AF">
      <w:pPr>
        <w:spacing w:after="0" w:line="240" w:lineRule="auto"/>
      </w:pPr>
      <w:r>
        <w:separator/>
      </w:r>
    </w:p>
  </w:endnote>
  <w:endnote w:type="continuationSeparator" w:id="0">
    <w:p w14:paraId="1FE8986D" w14:textId="77777777" w:rsidR="00C777B3" w:rsidRDefault="00C777B3" w:rsidP="00A015AF">
      <w:pPr>
        <w:spacing w:after="0" w:line="240" w:lineRule="auto"/>
      </w:pPr>
      <w:r>
        <w:continuationSeparator/>
      </w:r>
    </w:p>
  </w:endnote>
  <w:endnote w:type="continuationNotice" w:id="1">
    <w:p w14:paraId="74082DB5" w14:textId="77777777" w:rsidR="00C777B3" w:rsidRDefault="00C777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EB13F" w14:textId="1B2DD1E3" w:rsidR="4EF34651" w:rsidRPr="00C66D0B" w:rsidRDefault="0026318B" w:rsidP="4EF34651">
    <w:pPr>
      <w:pStyle w:val="Footer"/>
      <w:rPr>
        <w:lang w:val="es-MX"/>
      </w:rPr>
    </w:pPr>
    <w:r>
      <w:rPr>
        <w:lang w:val="es-PR"/>
      </w:rPr>
      <w:t>Hoja de datos del plan estatal de desempeño - Indicador B8</w:t>
    </w:r>
    <w:r>
      <w:rPr>
        <w:lang w:val="es-PR"/>
      </w:rPr>
      <w:tab/>
    </w:r>
    <w:r>
      <w:rPr>
        <w:lang w:val="es-PR"/>
      </w:rPr>
      <w:tab/>
    </w:r>
    <w:r>
      <w:rPr>
        <w:lang w:val="es-PR"/>
      </w:rPr>
      <w:fldChar w:fldCharType="begin"/>
    </w:r>
    <w:r>
      <w:rPr>
        <w:lang w:val="es-PR"/>
      </w:rPr>
      <w:instrText xml:space="preserve"> PAGE   \* MERGEFORMAT </w:instrText>
    </w:r>
    <w:r>
      <w:rPr>
        <w:lang w:val="es-PR"/>
      </w:rPr>
      <w:fldChar w:fldCharType="separate"/>
    </w:r>
    <w:r w:rsidR="005C4B18">
      <w:rPr>
        <w:noProof/>
        <w:lang w:val="es-PR"/>
      </w:rPr>
      <w:t>4</w:t>
    </w:r>
    <w:r>
      <w:rPr>
        <w:noProof/>
        <w:lang w:val="es-P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D201" w14:textId="77777777" w:rsidR="00C777B3" w:rsidRDefault="00C777B3" w:rsidP="00A015AF">
      <w:pPr>
        <w:spacing w:after="0" w:line="240" w:lineRule="auto"/>
      </w:pPr>
      <w:r>
        <w:separator/>
      </w:r>
    </w:p>
  </w:footnote>
  <w:footnote w:type="continuationSeparator" w:id="0">
    <w:p w14:paraId="7D70732E" w14:textId="77777777" w:rsidR="00C777B3" w:rsidRDefault="00C777B3" w:rsidP="00A015AF">
      <w:pPr>
        <w:spacing w:after="0" w:line="240" w:lineRule="auto"/>
      </w:pPr>
      <w:r>
        <w:continuationSeparator/>
      </w:r>
    </w:p>
  </w:footnote>
  <w:footnote w:type="continuationNotice" w:id="1">
    <w:p w14:paraId="31C6E089" w14:textId="77777777" w:rsidR="00C777B3" w:rsidRDefault="00C777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1"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2"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3"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4" w15:restartNumberingAfterBreak="0">
    <w:nsid w:val="3A905847"/>
    <w:multiLevelType w:val="hybridMultilevel"/>
    <w:tmpl w:val="AB7A1CB6"/>
    <w:lvl w:ilvl="0" w:tplc="FCC84FE0">
      <w:start w:val="1"/>
      <w:numFmt w:val="bullet"/>
      <w:lvlText w:val=""/>
      <w:lvlJc w:val="left"/>
      <w:pPr>
        <w:ind w:left="720" w:hanging="360"/>
      </w:pPr>
      <w:rPr>
        <w:rFonts w:ascii="Symbol" w:hAnsi="Symbol" w:hint="default"/>
      </w:rPr>
    </w:lvl>
    <w:lvl w:ilvl="1" w:tplc="CDB65870">
      <w:start w:val="1"/>
      <w:numFmt w:val="bullet"/>
      <w:lvlText w:val="o"/>
      <w:lvlJc w:val="left"/>
      <w:pPr>
        <w:ind w:left="1440" w:hanging="360"/>
      </w:pPr>
      <w:rPr>
        <w:rFonts w:ascii="Courier New" w:hAnsi="Courier New" w:hint="default"/>
      </w:rPr>
    </w:lvl>
    <w:lvl w:ilvl="2" w:tplc="4D3A1242">
      <w:start w:val="1"/>
      <w:numFmt w:val="bullet"/>
      <w:lvlText w:val=""/>
      <w:lvlJc w:val="left"/>
      <w:pPr>
        <w:ind w:left="2160" w:hanging="360"/>
      </w:pPr>
      <w:rPr>
        <w:rFonts w:ascii="Wingdings" w:hAnsi="Wingdings" w:hint="default"/>
      </w:rPr>
    </w:lvl>
    <w:lvl w:ilvl="3" w:tplc="BCEC5880">
      <w:start w:val="1"/>
      <w:numFmt w:val="bullet"/>
      <w:lvlText w:val=""/>
      <w:lvlJc w:val="left"/>
      <w:pPr>
        <w:ind w:left="2880" w:hanging="360"/>
      </w:pPr>
      <w:rPr>
        <w:rFonts w:ascii="Symbol" w:hAnsi="Symbol" w:hint="default"/>
      </w:rPr>
    </w:lvl>
    <w:lvl w:ilvl="4" w:tplc="BB369204">
      <w:start w:val="1"/>
      <w:numFmt w:val="bullet"/>
      <w:lvlText w:val="o"/>
      <w:lvlJc w:val="left"/>
      <w:pPr>
        <w:ind w:left="3600" w:hanging="360"/>
      </w:pPr>
      <w:rPr>
        <w:rFonts w:ascii="Courier New" w:hAnsi="Courier New" w:hint="default"/>
      </w:rPr>
    </w:lvl>
    <w:lvl w:ilvl="5" w:tplc="0AB641E8">
      <w:start w:val="1"/>
      <w:numFmt w:val="bullet"/>
      <w:lvlText w:val=""/>
      <w:lvlJc w:val="left"/>
      <w:pPr>
        <w:ind w:left="4320" w:hanging="360"/>
      </w:pPr>
      <w:rPr>
        <w:rFonts w:ascii="Wingdings" w:hAnsi="Wingdings" w:hint="default"/>
      </w:rPr>
    </w:lvl>
    <w:lvl w:ilvl="6" w:tplc="B20A9C74">
      <w:start w:val="1"/>
      <w:numFmt w:val="bullet"/>
      <w:lvlText w:val=""/>
      <w:lvlJc w:val="left"/>
      <w:pPr>
        <w:ind w:left="5040" w:hanging="360"/>
      </w:pPr>
      <w:rPr>
        <w:rFonts w:ascii="Symbol" w:hAnsi="Symbol" w:hint="default"/>
      </w:rPr>
    </w:lvl>
    <w:lvl w:ilvl="7" w:tplc="AFB43FE8">
      <w:start w:val="1"/>
      <w:numFmt w:val="bullet"/>
      <w:lvlText w:val="o"/>
      <w:lvlJc w:val="left"/>
      <w:pPr>
        <w:ind w:left="5760" w:hanging="360"/>
      </w:pPr>
      <w:rPr>
        <w:rFonts w:ascii="Courier New" w:hAnsi="Courier New" w:hint="default"/>
      </w:rPr>
    </w:lvl>
    <w:lvl w:ilvl="8" w:tplc="15140306">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ED183A26">
      <w:start w:val="1"/>
      <w:numFmt w:val="bullet"/>
      <w:lvlText w:val=""/>
      <w:lvlJc w:val="left"/>
      <w:pPr>
        <w:ind w:left="720" w:hanging="360"/>
      </w:pPr>
      <w:rPr>
        <w:rFonts w:ascii="Symbol" w:hAnsi="Symbol" w:hint="default"/>
      </w:rPr>
    </w:lvl>
    <w:lvl w:ilvl="1" w:tplc="30F233CA">
      <w:start w:val="1"/>
      <w:numFmt w:val="bullet"/>
      <w:lvlText w:val="o"/>
      <w:lvlJc w:val="left"/>
      <w:pPr>
        <w:ind w:left="1440" w:hanging="360"/>
      </w:pPr>
      <w:rPr>
        <w:rFonts w:ascii="Courier New" w:hAnsi="Courier New" w:hint="default"/>
      </w:rPr>
    </w:lvl>
    <w:lvl w:ilvl="2" w:tplc="1AC076EA">
      <w:start w:val="1"/>
      <w:numFmt w:val="bullet"/>
      <w:lvlText w:val=""/>
      <w:lvlJc w:val="left"/>
      <w:pPr>
        <w:ind w:left="2160" w:hanging="360"/>
      </w:pPr>
      <w:rPr>
        <w:rFonts w:ascii="Wingdings" w:hAnsi="Wingdings" w:hint="default"/>
      </w:rPr>
    </w:lvl>
    <w:lvl w:ilvl="3" w:tplc="82822380">
      <w:start w:val="1"/>
      <w:numFmt w:val="bullet"/>
      <w:lvlText w:val=""/>
      <w:lvlJc w:val="left"/>
      <w:pPr>
        <w:ind w:left="2880" w:hanging="360"/>
      </w:pPr>
      <w:rPr>
        <w:rFonts w:ascii="Symbol" w:hAnsi="Symbol" w:hint="default"/>
      </w:rPr>
    </w:lvl>
    <w:lvl w:ilvl="4" w:tplc="47BA2106">
      <w:start w:val="1"/>
      <w:numFmt w:val="bullet"/>
      <w:lvlText w:val="o"/>
      <w:lvlJc w:val="left"/>
      <w:pPr>
        <w:ind w:left="3600" w:hanging="360"/>
      </w:pPr>
      <w:rPr>
        <w:rFonts w:ascii="Courier New" w:hAnsi="Courier New" w:hint="default"/>
      </w:rPr>
    </w:lvl>
    <w:lvl w:ilvl="5" w:tplc="65829BD6">
      <w:start w:val="1"/>
      <w:numFmt w:val="bullet"/>
      <w:lvlText w:val=""/>
      <w:lvlJc w:val="left"/>
      <w:pPr>
        <w:ind w:left="4320" w:hanging="360"/>
      </w:pPr>
      <w:rPr>
        <w:rFonts w:ascii="Wingdings" w:hAnsi="Wingdings" w:hint="default"/>
      </w:rPr>
    </w:lvl>
    <w:lvl w:ilvl="6" w:tplc="D2E637BC">
      <w:start w:val="1"/>
      <w:numFmt w:val="bullet"/>
      <w:lvlText w:val=""/>
      <w:lvlJc w:val="left"/>
      <w:pPr>
        <w:ind w:left="5040" w:hanging="360"/>
      </w:pPr>
      <w:rPr>
        <w:rFonts w:ascii="Symbol" w:hAnsi="Symbol" w:hint="default"/>
      </w:rPr>
    </w:lvl>
    <w:lvl w:ilvl="7" w:tplc="B918686E">
      <w:start w:val="1"/>
      <w:numFmt w:val="bullet"/>
      <w:lvlText w:val="o"/>
      <w:lvlJc w:val="left"/>
      <w:pPr>
        <w:ind w:left="5760" w:hanging="360"/>
      </w:pPr>
      <w:rPr>
        <w:rFonts w:ascii="Courier New" w:hAnsi="Courier New" w:hint="default"/>
      </w:rPr>
    </w:lvl>
    <w:lvl w:ilvl="8" w:tplc="BAB2BB0C">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83787"/>
    <w:rsid w:val="000B7B51"/>
    <w:rsid w:val="000E4FA0"/>
    <w:rsid w:val="001B52CA"/>
    <w:rsid w:val="00216312"/>
    <w:rsid w:val="0026318B"/>
    <w:rsid w:val="0026797A"/>
    <w:rsid w:val="0027587A"/>
    <w:rsid w:val="002A100A"/>
    <w:rsid w:val="002D66CC"/>
    <w:rsid w:val="002D7790"/>
    <w:rsid w:val="00300812"/>
    <w:rsid w:val="00300F93"/>
    <w:rsid w:val="00322178"/>
    <w:rsid w:val="00327EB0"/>
    <w:rsid w:val="00356BE5"/>
    <w:rsid w:val="00373050"/>
    <w:rsid w:val="00472F13"/>
    <w:rsid w:val="004815E2"/>
    <w:rsid w:val="00496DD9"/>
    <w:rsid w:val="00506FC3"/>
    <w:rsid w:val="00536341"/>
    <w:rsid w:val="00551272"/>
    <w:rsid w:val="005C4B18"/>
    <w:rsid w:val="005D6523"/>
    <w:rsid w:val="006231FB"/>
    <w:rsid w:val="0065487F"/>
    <w:rsid w:val="00665A1E"/>
    <w:rsid w:val="00686AA4"/>
    <w:rsid w:val="006B3525"/>
    <w:rsid w:val="00770DA0"/>
    <w:rsid w:val="00780D5E"/>
    <w:rsid w:val="007911BE"/>
    <w:rsid w:val="00800077"/>
    <w:rsid w:val="008707C4"/>
    <w:rsid w:val="00872B58"/>
    <w:rsid w:val="00872BA4"/>
    <w:rsid w:val="00963CE4"/>
    <w:rsid w:val="00976053"/>
    <w:rsid w:val="00976EA9"/>
    <w:rsid w:val="00980D00"/>
    <w:rsid w:val="009A23AC"/>
    <w:rsid w:val="009C5702"/>
    <w:rsid w:val="00A015AF"/>
    <w:rsid w:val="00A106D4"/>
    <w:rsid w:val="00A42905"/>
    <w:rsid w:val="00AC06C8"/>
    <w:rsid w:val="00AD794D"/>
    <w:rsid w:val="00B51C91"/>
    <w:rsid w:val="00B542E4"/>
    <w:rsid w:val="00B77D28"/>
    <w:rsid w:val="00B87EF5"/>
    <w:rsid w:val="00B9167F"/>
    <w:rsid w:val="00BA0EA6"/>
    <w:rsid w:val="00BB0B34"/>
    <w:rsid w:val="00C06C4E"/>
    <w:rsid w:val="00C41661"/>
    <w:rsid w:val="00C43BD2"/>
    <w:rsid w:val="00C53B82"/>
    <w:rsid w:val="00C63CE5"/>
    <w:rsid w:val="00C66D0B"/>
    <w:rsid w:val="00C777B3"/>
    <w:rsid w:val="00CA1A38"/>
    <w:rsid w:val="00CA3BE5"/>
    <w:rsid w:val="00CD2C98"/>
    <w:rsid w:val="00CD6A16"/>
    <w:rsid w:val="00D330A6"/>
    <w:rsid w:val="00DB37A5"/>
    <w:rsid w:val="00DC5156"/>
    <w:rsid w:val="00E14876"/>
    <w:rsid w:val="00E18309"/>
    <w:rsid w:val="00E30FFD"/>
    <w:rsid w:val="00E441BE"/>
    <w:rsid w:val="00EC1479"/>
    <w:rsid w:val="00EC75DD"/>
    <w:rsid w:val="00FB5DC0"/>
    <w:rsid w:val="00FC0AA2"/>
    <w:rsid w:val="01B34A81"/>
    <w:rsid w:val="023DF421"/>
    <w:rsid w:val="035723B7"/>
    <w:rsid w:val="03CE31FA"/>
    <w:rsid w:val="05854BB8"/>
    <w:rsid w:val="07DC10C2"/>
    <w:rsid w:val="0842A8EB"/>
    <w:rsid w:val="09156CEF"/>
    <w:rsid w:val="09335D90"/>
    <w:rsid w:val="0A003D7F"/>
    <w:rsid w:val="0A27EFDB"/>
    <w:rsid w:val="0A465528"/>
    <w:rsid w:val="0A755672"/>
    <w:rsid w:val="0B773283"/>
    <w:rsid w:val="0B8E293D"/>
    <w:rsid w:val="0C322520"/>
    <w:rsid w:val="0CD70CBB"/>
    <w:rsid w:val="0E5DC7DB"/>
    <w:rsid w:val="0E9497F5"/>
    <w:rsid w:val="0ECBA6C1"/>
    <w:rsid w:val="0EFEDBEB"/>
    <w:rsid w:val="0F9F9E71"/>
    <w:rsid w:val="118102CB"/>
    <w:rsid w:val="11FF5668"/>
    <w:rsid w:val="1251594E"/>
    <w:rsid w:val="13016201"/>
    <w:rsid w:val="1304DF78"/>
    <w:rsid w:val="174802E7"/>
    <w:rsid w:val="1B867661"/>
    <w:rsid w:val="1BE5ED5B"/>
    <w:rsid w:val="1E12FAA8"/>
    <w:rsid w:val="1E2A045C"/>
    <w:rsid w:val="1E4AC4F9"/>
    <w:rsid w:val="1F639FB2"/>
    <w:rsid w:val="21966300"/>
    <w:rsid w:val="23843594"/>
    <w:rsid w:val="23B82283"/>
    <w:rsid w:val="24993E0C"/>
    <w:rsid w:val="251E9D73"/>
    <w:rsid w:val="2613C8E8"/>
    <w:rsid w:val="281588D1"/>
    <w:rsid w:val="2822FAC6"/>
    <w:rsid w:val="28899E29"/>
    <w:rsid w:val="296292F5"/>
    <w:rsid w:val="2AC75235"/>
    <w:rsid w:val="2AE73A0B"/>
    <w:rsid w:val="2C76AA7E"/>
    <w:rsid w:val="2E22D4A8"/>
    <w:rsid w:val="303BD099"/>
    <w:rsid w:val="30C0F80C"/>
    <w:rsid w:val="321CF482"/>
    <w:rsid w:val="326E5401"/>
    <w:rsid w:val="3272F914"/>
    <w:rsid w:val="328E971D"/>
    <w:rsid w:val="32B1B4D3"/>
    <w:rsid w:val="331B23F1"/>
    <w:rsid w:val="331CD1C5"/>
    <w:rsid w:val="37839F2D"/>
    <w:rsid w:val="38171751"/>
    <w:rsid w:val="3A6CB028"/>
    <w:rsid w:val="3B4E0939"/>
    <w:rsid w:val="3B5B6A74"/>
    <w:rsid w:val="3B83BDAA"/>
    <w:rsid w:val="3B94306C"/>
    <w:rsid w:val="3C0C80C7"/>
    <w:rsid w:val="3C1E556C"/>
    <w:rsid w:val="3D8A0189"/>
    <w:rsid w:val="3E061AEA"/>
    <w:rsid w:val="3E64F3E0"/>
    <w:rsid w:val="3E74A9E2"/>
    <w:rsid w:val="3EA2E964"/>
    <w:rsid w:val="3EA8BBDF"/>
    <w:rsid w:val="3F30FB77"/>
    <w:rsid w:val="40BAAC27"/>
    <w:rsid w:val="419A321F"/>
    <w:rsid w:val="41C161C9"/>
    <w:rsid w:val="41DAB5CE"/>
    <w:rsid w:val="428E0291"/>
    <w:rsid w:val="42954A25"/>
    <w:rsid w:val="43360280"/>
    <w:rsid w:val="433DFD85"/>
    <w:rsid w:val="43A07F1A"/>
    <w:rsid w:val="4694D2EC"/>
    <w:rsid w:val="476173B4"/>
    <w:rsid w:val="48BEA9FF"/>
    <w:rsid w:val="493A0E29"/>
    <w:rsid w:val="496069B2"/>
    <w:rsid w:val="49DAC684"/>
    <w:rsid w:val="4A9B697A"/>
    <w:rsid w:val="4AB86F41"/>
    <w:rsid w:val="4AF85F99"/>
    <w:rsid w:val="4B7778E9"/>
    <w:rsid w:val="4C19DA7D"/>
    <w:rsid w:val="4C84EECC"/>
    <w:rsid w:val="4CA9B4C5"/>
    <w:rsid w:val="4D5775F0"/>
    <w:rsid w:val="4DC154A7"/>
    <w:rsid w:val="4DC759FD"/>
    <w:rsid w:val="4EF34651"/>
    <w:rsid w:val="5179A574"/>
    <w:rsid w:val="5239EBB3"/>
    <w:rsid w:val="5248B67F"/>
    <w:rsid w:val="52BF22C0"/>
    <w:rsid w:val="53B71034"/>
    <w:rsid w:val="54B0F1B5"/>
    <w:rsid w:val="56277CA2"/>
    <w:rsid w:val="56CADF76"/>
    <w:rsid w:val="56FF2CED"/>
    <w:rsid w:val="57AE517E"/>
    <w:rsid w:val="5833D34A"/>
    <w:rsid w:val="583BF190"/>
    <w:rsid w:val="59405C85"/>
    <w:rsid w:val="59AE5D10"/>
    <w:rsid w:val="5ADC2CE6"/>
    <w:rsid w:val="5BB66BB1"/>
    <w:rsid w:val="5E4C9A5B"/>
    <w:rsid w:val="5EF4CF3D"/>
    <w:rsid w:val="5F697387"/>
    <w:rsid w:val="6002AB7F"/>
    <w:rsid w:val="6010CC80"/>
    <w:rsid w:val="6039AA92"/>
    <w:rsid w:val="60B93623"/>
    <w:rsid w:val="6135418B"/>
    <w:rsid w:val="6444DFAF"/>
    <w:rsid w:val="6481A9C3"/>
    <w:rsid w:val="64A1AFB5"/>
    <w:rsid w:val="6551DB58"/>
    <w:rsid w:val="65943897"/>
    <w:rsid w:val="65DFD2A5"/>
    <w:rsid w:val="65E9D2E5"/>
    <w:rsid w:val="679414DE"/>
    <w:rsid w:val="679AC553"/>
    <w:rsid w:val="67A7E7A3"/>
    <w:rsid w:val="67D8F31E"/>
    <w:rsid w:val="6A251BCC"/>
    <w:rsid w:val="6A47138C"/>
    <w:rsid w:val="6B13B68E"/>
    <w:rsid w:val="6B5ECC4A"/>
    <w:rsid w:val="6C062D4C"/>
    <w:rsid w:val="6C35AE81"/>
    <w:rsid w:val="6CAAC3D7"/>
    <w:rsid w:val="6CABE536"/>
    <w:rsid w:val="6CBDC2CC"/>
    <w:rsid w:val="6CD2B94E"/>
    <w:rsid w:val="6D1B4991"/>
    <w:rsid w:val="6F1A4FEC"/>
    <w:rsid w:val="6FE74388"/>
    <w:rsid w:val="70622CEC"/>
    <w:rsid w:val="709A212A"/>
    <w:rsid w:val="70C371B8"/>
    <w:rsid w:val="714C44E1"/>
    <w:rsid w:val="725F4219"/>
    <w:rsid w:val="73B2F60B"/>
    <w:rsid w:val="745F0940"/>
    <w:rsid w:val="7610226C"/>
    <w:rsid w:val="767D19AB"/>
    <w:rsid w:val="78D67123"/>
    <w:rsid w:val="78FFF39E"/>
    <w:rsid w:val="79153EC0"/>
    <w:rsid w:val="7A0030B2"/>
    <w:rsid w:val="7A84CB6F"/>
    <w:rsid w:val="7BE52A1B"/>
    <w:rsid w:val="7CC1215A"/>
    <w:rsid w:val="7D3AE327"/>
    <w:rsid w:val="7D5128D7"/>
    <w:rsid w:val="7D7C76F4"/>
    <w:rsid w:val="7DA9E246"/>
    <w:rsid w:val="7DC3ED2D"/>
    <w:rsid w:val="7DF0AAE8"/>
    <w:rsid w:val="7E99B18E"/>
    <w:rsid w:val="7F20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smartsheet.com/b/publish?EQBCT=024939afc7844273a7c08f4474a95d9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hyperlink" Target="mailto:brad.lenhardt@state.or.us"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B8 de Oregón (participación de los padres)</a:t>
            </a:r>
          </a:p>
          <a:p>
            <a:pPr rtl="0">
              <a:defRPr/>
            </a:pPr>
            <a:r>
              <a:rPr lang="es-pr" b="1" i="0" u="none" baseline="0">
                <a:solidFill>
                  <a:srgbClr val="1B75BC"/>
                </a:solidFill>
              </a:rPr>
              <a:t>Preescolar</a:t>
            </a:r>
          </a:p>
        </c:rich>
      </c:tx>
      <c:layout>
        <c:manualLayout>
          <c:xMode val="edge"/>
          <c:yMode val="edge"/>
          <c:x val="0.1349950006249219"/>
          <c:y val="2.7777777777777776E-2"/>
        </c:manualLayout>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'B8-EC'!$A$2</c:f>
              <c:strCache>
                <c:ptCount val="1"/>
                <c:pt idx="0">
                  <c:v>Data</c:v>
                </c:pt>
              </c:strCache>
            </c:strRef>
          </c:tx>
          <c:spPr>
            <a:ln w="28575" cap="rnd">
              <a:solidFill>
                <a:srgbClr val="1B75BC"/>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257C-4DC8-AEA6-C86F2FCA35DD}"/>
                </c:ext>
              </c:extLst>
            </c:dLbl>
            <c:dLbl>
              <c:idx val="1"/>
              <c:layout>
                <c:manualLayout>
                  <c:x val="-4.4456279584309387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257C-4DC8-AEA6-C86F2FCA35DD}"/>
                </c:ext>
              </c:extLst>
            </c:dLbl>
            <c:dLbl>
              <c:idx val="3"/>
              <c:layout>
                <c:manualLayout>
                  <c:x val="-4.0409745074698314E-2"/>
                  <c:y val="-5.863658425512026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2-257C-4DC8-AEA6-C86F2FCA35DD}"/>
                </c:ext>
              </c:extLst>
            </c:dLbl>
            <c:dLbl>
              <c:idx val="4"/>
              <c:layout>
                <c:manualLayout>
                  <c:x val="-3.6363210565087394E-2"/>
                  <c:y val="4.600071306161092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257C-4DC8-AEA6-C86F2FCA35DD}"/>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'B8-EC'!$B$2:$G$2</c:f>
              <c:numCache>
                <c:formatCode>0.00%</c:formatCode>
                <c:ptCount val="6"/>
                <c:pt idx="0">
                  <c:v>0.82179999999999997</c:v>
                </c:pt>
                <c:pt idx="1">
                  <c:v>0.81159999999999999</c:v>
                </c:pt>
                <c:pt idx="2">
                  <c:v>0.86229999999999996</c:v>
                </c:pt>
                <c:pt idx="3">
                  <c:v>0.79369999999999996</c:v>
                </c:pt>
                <c:pt idx="4">
                  <c:v>0.84589999999999999</c:v>
                </c:pt>
                <c:pt idx="5">
                  <c:v>0.88790000000000002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4-257C-4DC8-AEA6-C86F2FCA35DD}"/>
            </c:ext>
          </c:extLst>
        </c:ser>
        <c:ser>
          <c:idx val="1"/>
          <c:order val="1"/>
          <c:tx>
            <c:strRef>
              <c:f>'B8-EC'!$A$3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4.5953275489455873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257C-4DC8-AEA6-C86F2FCA35D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'B8-EC'!$B$1:$G$1</c:f>
              <c:numCache>
                <c:formatCode>General</c:formatCode>
                <c:ptCount val="6"/>
                <c:pt idx="0">
                  <c:v>2014</c:v>
                </c:pt>
                <c:pt idx="1">
                  <c:v>2015</c:v>
                </c:pt>
                <c:pt idx="2">
                  <c:v>2016</c:v>
                </c:pt>
                <c:pt idx="3">
                  <c:v>2017</c:v>
                </c:pt>
                <c:pt idx="4">
                  <c:v>2018</c:v>
                </c:pt>
                <c:pt idx="5">
                  <c:v>2019</c:v>
                </c:pt>
              </c:numCache>
            </c:numRef>
          </c:cat>
          <c:val>
            <c:numRef>
              <c:f>'B8-EC'!$B$3:$G$3</c:f>
              <c:numCache>
                <c:formatCode>0.00%</c:formatCode>
                <c:ptCount val="6"/>
                <c:pt idx="0">
                  <c:v>0.82179999999999997</c:v>
                </c:pt>
                <c:pt idx="1">
                  <c:v>0.82479999999999998</c:v>
                </c:pt>
                <c:pt idx="2">
                  <c:v>0.82679999999999998</c:v>
                </c:pt>
                <c:pt idx="3">
                  <c:v>0.83679999999999999</c:v>
                </c:pt>
                <c:pt idx="4">
                  <c:v>0.85680000000000001</c:v>
                </c:pt>
                <c:pt idx="5">
                  <c:v>0.85680000000000001</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6-257C-4DC8-AEA6-C86F2FCA35D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5000000000000007"/>
          <c:min val="0.75000000000000011"/>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r>
              <a:rPr lang="es-pr" b="1" i="0" u="none" baseline="0">
                <a:solidFill>
                  <a:srgbClr val="1B75BC"/>
                </a:solidFill>
              </a:rPr>
              <a:t>Datos del indicador B8 de Oregón (participación de los padres)</a:t>
            </a:r>
          </a:p>
          <a:p>
            <a:pPr rtl="0">
              <a:defRPr/>
            </a:pPr>
            <a:r>
              <a:rPr lang="es-pr" b="1" i="0" u="none" baseline="0">
                <a:solidFill>
                  <a:srgbClr val="1B75BC"/>
                </a:solidFill>
              </a:rPr>
              <a:t>Edad escolar</a:t>
            </a:r>
          </a:p>
        </c:rich>
      </c:tx>
      <c:layout/>
      <c:overlay val="0"/>
      <c:spPr>
        <a:noFill/>
        <a:ln>
          <a:noFill/>
        </a:ln>
        <a:effectLst/>
      </c:spPr>
      <c:txPr>
        <a:bodyPr rot="0" spcFirstLastPara="1" vertOverflow="ellipsis" vert="horz" wrap="square" anchor="ctr" anchorCtr="1"/>
        <a:lstStyle/>
        <a:p>
          <a:pPr rtl="0">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'B8-SA'!$A$2</c:f>
              <c:strCache>
                <c:ptCount val="1"/>
                <c:pt idx="0">
                  <c:v>Data</c:v>
                </c:pt>
              </c:strCache>
            </c:strRef>
          </c:tx>
          <c:spPr>
            <a:ln w="28575" cap="rnd">
              <a:solidFill>
                <a:srgbClr val="1B75BC"/>
              </a:solidFill>
              <a:round/>
            </a:ln>
            <a:effectLst/>
          </c:spPr>
          <c:marker>
            <c:symbol val="none"/>
          </c:marker>
          <c:dLbls>
            <c:dLbl>
              <c:idx val="4"/>
              <c:layout>
                <c:manualLayout>
                  <c:x val="-4.4456279584309387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0-1F87-42D1-9D01-11F97A7D1E9C}"/>
                </c:ext>
              </c:extLst>
            </c:dLbl>
            <c:dLbl>
              <c:idx val="5"/>
              <c:layout>
                <c:manualLayout>
                  <c:x val="-4.2433012329503889E-2"/>
                  <c:y val="-3.009913953237539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1-1F87-42D1-9D01-11F97A7D1E9C}"/>
                </c:ext>
              </c:extLst>
            </c:dLbl>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'B8-SA'!$B$1:$G$1</c:f>
              <c:numCache>
                <c:formatCode>General</c:formatCode>
                <c:ptCount val="6"/>
                <c:pt idx="0">
                  <c:v>2014</c:v>
                </c:pt>
                <c:pt idx="1">
                  <c:v>2015</c:v>
                </c:pt>
                <c:pt idx="2">
                  <c:v>2016</c:v>
                </c:pt>
                <c:pt idx="3">
                  <c:v>2017</c:v>
                </c:pt>
                <c:pt idx="4">
                  <c:v>2018</c:v>
                </c:pt>
                <c:pt idx="5">
                  <c:v>2019</c:v>
                </c:pt>
              </c:numCache>
            </c:numRef>
          </c:cat>
          <c:val>
            <c:numRef>
              <c:f>'B8-SA'!$B$2:$G$2</c:f>
              <c:numCache>
                <c:formatCode>0.00%</c:formatCode>
                <c:ptCount val="6"/>
                <c:pt idx="0">
                  <c:v>0.76229999999999998</c:v>
                </c:pt>
                <c:pt idx="1">
                  <c:v>0.78120000000000001</c:v>
                </c:pt>
                <c:pt idx="2">
                  <c:v>0.78739999999999999</c:v>
                </c:pt>
                <c:pt idx="3">
                  <c:v>0.79430000000000001</c:v>
                </c:pt>
                <c:pt idx="4">
                  <c:v>0.78979999999999995</c:v>
                </c:pt>
                <c:pt idx="5">
                  <c:v>0.83540000000000003</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2-1F87-42D1-9D01-11F97A7D1E9C}"/>
            </c:ext>
          </c:extLst>
        </c:ser>
        <c:ser>
          <c:idx val="1"/>
          <c:order val="1"/>
          <c:tx>
            <c:strRef>
              <c:f>'B8-SA'!$A$3</c:f>
              <c:strCache>
                <c:ptCount val="1"/>
                <c:pt idx="0">
                  <c:v>Target &gt;=</c:v>
                </c:pt>
              </c:strCache>
            </c:strRef>
          </c:tx>
          <c:spPr>
            <a:ln w="28575" cap="rnd">
              <a:solidFill>
                <a:srgbClr val="408740"/>
              </a:solidFill>
              <a:round/>
            </a:ln>
            <a:effectLst/>
          </c:spPr>
          <c:marker>
            <c:symbol val="none"/>
          </c:marker>
          <c:dLbls>
            <c:dLbl>
              <c:idx val="0"/>
              <c:layout>
                <c:manualLayout>
                  <c:x val="-4.4456279584309387E-2"/>
                  <c:y val="3.6488231487362632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3-1F87-42D1-9D01-11F97A7D1E9C}"/>
                </c:ext>
              </c:extLst>
            </c:dLbl>
            <c:dLbl>
              <c:idx val="1"/>
              <c:layout>
                <c:manualLayout>
                  <c:x val="-4.4456279584309387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4-1F87-42D1-9D01-11F97A7D1E9C}"/>
                </c:ext>
              </c:extLst>
            </c:dLbl>
            <c:dLbl>
              <c:idx val="2"/>
              <c:layout>
                <c:manualLayout>
                  <c:x val="-4.4456279584309387E-2"/>
                  <c:y val="3.9659058678778614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5-1F87-42D1-9D01-11F97A7D1E9C}"/>
                </c:ext>
              </c:extLst>
            </c:dLbl>
            <c:dLbl>
              <c:idx val="3"/>
              <c:layout>
                <c:manualLayout>
                  <c:x val="-4.4456279584309311E-2"/>
                  <c:y val="3.0146577104530437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6-1F87-42D1-9D01-11F97A7D1E9C}"/>
                </c:ext>
              </c:extLst>
            </c:dLbl>
            <c:dLbl>
              <c:idx val="5"/>
              <c:layout>
                <c:manualLayout>
                  <c:x val="-4.4456279584309533E-2"/>
                  <c:y val="2.6975749913114341E-2"/>
                </c:manualLayout>
              </c:layout>
              <c:dLblPos val="r"/>
              <c:showLegendKey val="0"/>
              <c:showVal val="1"/>
              <c:showCatName val="0"/>
              <c:showSerName val="0"/>
              <c:showPercent val="0"/>
              <c:showBubbleSize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ext>
                <c:ext xmlns:c16="http://schemas.microsoft.com/office/drawing/2014/chart" uri="{C3380CC4-5D6E-409C-BE32-E72D297353CC}">
                  <c16:uniqueId val="{00000007-1F87-42D1-9D01-11F97A7D1E9C}"/>
                </c:ext>
              </c:extLst>
            </c:dLbl>
            <c:numFmt formatCode="0.00%" sourceLinked="0"/>
            <c:spPr>
              <a:noFill/>
              <a:ln>
                <a:noFill/>
              </a:ln>
              <a:effectLst/>
            </c:spPr>
            <c:txPr>
              <a:bodyPr rot="0" spcFirstLastPara="1" vertOverflow="ellipsis" vert="horz" wrap="square" lIns="38100" tIns="19050" rIns="38100" bIns="19050" anchor="ctr" anchorCtr="1">
                <a:spAutoFit/>
              </a:bodyPr>
              <a:lstStyle/>
              <a:p>
                <a:pPr rtl="0">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5="http://schemas.microsoft.com/office/drawing/2012/chart" uri="{CE6537A1-D6FC-4f65-9D91-7224C49458BB}">
                <c15:layout/>
                <c15:showLeaderLines val="0"/>
              </c:ext>
            </c:extLst>
          </c:dLbls>
          <c:cat>
            <c:numRef>
              <c:f>'B8-SA'!$B$1:$G$1</c:f>
              <c:numCache>
                <c:formatCode>General</c:formatCode>
                <c:ptCount val="6"/>
                <c:pt idx="0">
                  <c:v>2014</c:v>
                </c:pt>
                <c:pt idx="1">
                  <c:v>2015</c:v>
                </c:pt>
                <c:pt idx="2">
                  <c:v>2016</c:v>
                </c:pt>
                <c:pt idx="3">
                  <c:v>2017</c:v>
                </c:pt>
                <c:pt idx="4">
                  <c:v>2018</c:v>
                </c:pt>
                <c:pt idx="5">
                  <c:v>2019</c:v>
                </c:pt>
              </c:numCache>
            </c:numRef>
          </c:cat>
          <c:val>
            <c:numRef>
              <c:f>'B8-SA'!$B$3:$G$3</c:f>
              <c:numCache>
                <c:formatCode>0.00%</c:formatCode>
                <c:ptCount val="6"/>
                <c:pt idx="0">
                  <c:v>0.76229999999999998</c:v>
                </c:pt>
                <c:pt idx="1">
                  <c:v>0.76729999999999998</c:v>
                </c:pt>
                <c:pt idx="2">
                  <c:v>0.77729999999999999</c:v>
                </c:pt>
                <c:pt idx="3">
                  <c:v>0.7873</c:v>
                </c:pt>
                <c:pt idx="4">
                  <c:v>0.81230000000000002</c:v>
                </c:pt>
                <c:pt idx="5">
                  <c:v>0.81230000000000002</c:v>
                </c:pt>
              </c:numCache>
            </c:numRef>
          </c:val>
          <c:smooth val="0"/>
          <c:extLs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c:ext xmlns:c16="http://schemas.microsoft.com/office/drawing/2014/chart" uri="{C3380CC4-5D6E-409C-BE32-E72D297353CC}">
              <c16:uniqueId val="{00000008-1F87-42D1-9D01-11F97A7D1E9C}"/>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spPr>
        <a:noFill/>
        <a:ln>
          <a:noFill/>
        </a:ln>
        <a:effectLst/>
      </c:spPr>
    </c:plotArea>
    <c:legend>
      <c:legendPos val="b"/>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2021-12-17T00:31:59+00:00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47477c3-cea5-4644-a2b9-72f12b741c16"/>
    <ds:schemaRef ds:uri="7f305cf4-7e8c-42e6-816c-ef6b646f0adc"/>
    <ds:schemaRef ds:uri="http://www.w3.org/XML/1998/namespace"/>
  </ds:schemaRefs>
</ds:datastoreItem>
</file>

<file path=customXml/itemProps3.xml><?xml version="1.0" encoding="utf-8"?>
<ds:datastoreItem xmlns:ds="http://schemas.openxmlformats.org/officeDocument/2006/customXml" ds:itemID="{EA854627-D465-4C92-A3DD-7B8212173C79}"/>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2021-12-16T18:54:00Z</dcterms:created>
  <dcterms:modified xsi:type="dcterms:W3CDTF">2021-12-16T18:54:00Z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