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5034C54" w:rsidRPr="000E1C07" w14:paraId="7E18F31D" w14:textId="77777777" w:rsidTr="00293819">
        <w:trPr>
          <w:tblHeader/>
        </w:trPr>
        <w:tc>
          <w:tcPr>
            <w:tcW w:w="2160" w:type="dxa"/>
            <w:vAlign w:val="center"/>
          </w:tcPr>
          <w:p w14:paraId="77EBAF10" w14:textId="77777777" w:rsidR="25034C54" w:rsidRDefault="25034C54" w:rsidP="00891293">
            <w:pPr>
              <w:jc w:val="center"/>
              <w:rPr>
                <w:rFonts w:eastAsia="Arial"/>
                <w:b/>
                <w:bCs/>
                <w:color w:val="082A75"/>
                <w:sz w:val="36"/>
                <w:szCs w:val="36"/>
              </w:rPr>
            </w:pPr>
            <w:r>
              <w:rPr>
                <w:noProof/>
              </w:rPr>
              <w:drawing>
                <wp:inline distT="0" distB="0" distL="0" distR="0" wp14:anchorId="5D670538" wp14:editId="687102FD">
                  <wp:extent cx="1077554" cy="1145969"/>
                  <wp:effectExtent l="0" t="0" r="8890" b="0"/>
                  <wp:docPr id="1189748827"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77304BB5" w14:textId="77777777" w:rsidR="25034C54" w:rsidRPr="000E1C07" w:rsidRDefault="25034C54" w:rsidP="00891293">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Plan de desempeño estatal (SPP)</w:t>
            </w:r>
          </w:p>
          <w:p w14:paraId="5AD4C7E6" w14:textId="4B3797DB" w:rsidR="25034C54" w:rsidRPr="000E1C07" w:rsidRDefault="25034C54" w:rsidP="00891293">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Hoja de datos</w:t>
            </w:r>
          </w:p>
          <w:p w14:paraId="7BC3E365" w14:textId="25BA095A" w:rsidR="25034C54" w:rsidRPr="000E1C07" w:rsidRDefault="25034C54" w:rsidP="00891293">
            <w:pPr>
              <w:pStyle w:val="Title"/>
              <w:spacing w:after="200"/>
              <w:jc w:val="center"/>
              <w:rPr>
                <w:rFonts w:asciiTheme="minorHAnsi" w:eastAsia="Arial" w:hAnsiTheme="minorHAnsi" w:cstheme="minorBidi"/>
                <w:b/>
                <w:bCs/>
                <w:color w:val="082A75"/>
                <w:sz w:val="32"/>
                <w:szCs w:val="32"/>
                <w:lang w:val="es-MX"/>
              </w:rPr>
            </w:pPr>
            <w:r>
              <w:rPr>
                <w:rFonts w:asciiTheme="minorHAnsi" w:eastAsia="Arial" w:hAnsiTheme="minorHAnsi" w:cstheme="minorBidi"/>
                <w:b/>
                <w:bCs/>
                <w:color w:val="1B75BC"/>
                <w:sz w:val="32"/>
                <w:szCs w:val="32"/>
                <w:lang w:val="es-PR"/>
              </w:rPr>
              <w:t>Indicador B7: Resultados preescolares</w:t>
            </w:r>
          </w:p>
        </w:tc>
      </w:tr>
      <w:tr w:rsidR="25034C54" w:rsidRPr="000E1C07" w14:paraId="6F129D18" w14:textId="77777777" w:rsidTr="00AD1A06">
        <w:trPr>
          <w:trHeight w:val="72"/>
        </w:trPr>
        <w:tc>
          <w:tcPr>
            <w:tcW w:w="2700" w:type="dxa"/>
            <w:gridSpan w:val="2"/>
            <w:shd w:val="clear" w:color="auto" w:fill="9F2065"/>
          </w:tcPr>
          <w:p w14:paraId="5C02B2E0" w14:textId="77777777" w:rsidR="25034C54" w:rsidRPr="000E1C07" w:rsidRDefault="25034C54" w:rsidP="00891293">
            <w:pPr>
              <w:rPr>
                <w:noProof/>
                <w:lang w:val="es-MX"/>
              </w:rPr>
            </w:pPr>
          </w:p>
        </w:tc>
        <w:tc>
          <w:tcPr>
            <w:tcW w:w="2700" w:type="dxa"/>
            <w:shd w:val="clear" w:color="auto" w:fill="E26B2A"/>
          </w:tcPr>
          <w:p w14:paraId="35B17804" w14:textId="77777777" w:rsidR="25034C54" w:rsidRPr="000E1C07" w:rsidRDefault="25034C54" w:rsidP="00891293">
            <w:pPr>
              <w:pStyle w:val="Title"/>
              <w:rPr>
                <w:rFonts w:asciiTheme="minorHAnsi" w:eastAsia="Arial" w:hAnsiTheme="minorHAnsi" w:cstheme="minorBidi"/>
                <w:b/>
                <w:bCs/>
                <w:color w:val="082974"/>
                <w:sz w:val="22"/>
                <w:szCs w:val="22"/>
                <w:lang w:val="es-MX"/>
              </w:rPr>
            </w:pPr>
          </w:p>
        </w:tc>
        <w:tc>
          <w:tcPr>
            <w:tcW w:w="2700" w:type="dxa"/>
            <w:shd w:val="clear" w:color="auto" w:fill="1B75BC"/>
          </w:tcPr>
          <w:p w14:paraId="039A0C2B" w14:textId="77777777" w:rsidR="25034C54" w:rsidRPr="000E1C07" w:rsidRDefault="25034C54" w:rsidP="00891293">
            <w:pPr>
              <w:pStyle w:val="Title"/>
              <w:rPr>
                <w:rFonts w:asciiTheme="minorHAnsi" w:eastAsia="Arial" w:hAnsiTheme="minorHAnsi" w:cstheme="minorBidi"/>
                <w:b/>
                <w:bCs/>
                <w:color w:val="082974"/>
                <w:sz w:val="22"/>
                <w:szCs w:val="22"/>
                <w:lang w:val="es-MX"/>
              </w:rPr>
            </w:pPr>
          </w:p>
        </w:tc>
        <w:tc>
          <w:tcPr>
            <w:tcW w:w="2700" w:type="dxa"/>
            <w:shd w:val="clear" w:color="auto" w:fill="408740"/>
          </w:tcPr>
          <w:p w14:paraId="5D412B62" w14:textId="46579079" w:rsidR="25034C54" w:rsidRPr="000E1C07" w:rsidRDefault="25034C54" w:rsidP="00891293">
            <w:pPr>
              <w:pStyle w:val="Title"/>
              <w:rPr>
                <w:rFonts w:asciiTheme="minorHAnsi" w:eastAsia="Arial" w:hAnsiTheme="minorHAnsi" w:cstheme="minorBidi"/>
                <w:b/>
                <w:bCs/>
                <w:color w:val="082974"/>
                <w:sz w:val="22"/>
                <w:szCs w:val="22"/>
                <w:lang w:val="es-MX"/>
              </w:rPr>
            </w:pPr>
          </w:p>
        </w:tc>
      </w:tr>
    </w:tbl>
    <w:p w14:paraId="052CE68D" w14:textId="1948052A" w:rsidR="6CE2FAD4" w:rsidRPr="000E1C07" w:rsidRDefault="64079424" w:rsidP="00A47CF8">
      <w:pPr>
        <w:pStyle w:val="Heading1"/>
        <w:spacing w:line="240" w:lineRule="auto"/>
        <w:rPr>
          <w:rFonts w:ascii="Calibri" w:eastAsia="Calibri" w:hAnsi="Calibri" w:cs="Calibri"/>
          <w:color w:val="1B75BC"/>
          <w:lang w:val="es-MX"/>
        </w:rPr>
      </w:pPr>
      <w:r>
        <w:rPr>
          <w:rFonts w:ascii="Calibri" w:eastAsia="Calibri" w:hAnsi="Calibri" w:cs="Calibri"/>
          <w:b/>
          <w:bCs/>
          <w:color w:val="1B75BC"/>
          <w:lang w:val="es-PR"/>
        </w:rPr>
        <w:t>Plan de desempeño del estado de Oregon</w:t>
      </w:r>
    </w:p>
    <w:p w14:paraId="1076F075" w14:textId="55944DEB" w:rsidR="00DD3AEB" w:rsidRPr="000E1C07" w:rsidRDefault="00DD3AEB" w:rsidP="00891293">
      <w:pPr>
        <w:spacing w:after="8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objetivos y llevará a cabo una sesión de información pública para discutir los datos relacionados con este indicador en diciembre de 2021. Por favor, consulte la página web del </w:t>
      </w:r>
      <w:hyperlink r:id="rId11" w:history="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 xml:space="preserve">. </w:t>
      </w:r>
    </w:p>
    <w:p w14:paraId="4B73E1C3" w14:textId="0BC52818" w:rsidR="000E4FA0" w:rsidRPr="000E1C07" w:rsidRDefault="00CA3BE5" w:rsidP="00A47CF8">
      <w:pPr>
        <w:pStyle w:val="Heading1"/>
        <w:spacing w:line="240" w:lineRule="auto"/>
        <w:rPr>
          <w:rFonts w:asciiTheme="minorHAnsi" w:hAnsiTheme="minorHAnsi" w:cstheme="minorBidi"/>
          <w:b/>
          <w:bCs/>
          <w:color w:val="1B75BC"/>
          <w:lang w:val="es-MX"/>
        </w:rPr>
      </w:pPr>
      <w:r>
        <w:rPr>
          <w:rFonts w:asciiTheme="minorHAnsi" w:hAnsiTheme="minorHAnsi" w:cstheme="minorBidi"/>
          <w:b/>
          <w:bCs/>
          <w:color w:val="1B75BC"/>
          <w:lang w:val="es-PR"/>
        </w:rPr>
        <w:t>¿Qué mide este indicador y por qué es importante?</w:t>
      </w:r>
    </w:p>
    <w:p w14:paraId="594CB9CE" w14:textId="24D9640D" w:rsidR="68430429" w:rsidRPr="000E1C07" w:rsidRDefault="68430429" w:rsidP="00891293">
      <w:pPr>
        <w:spacing w:after="0" w:line="240" w:lineRule="auto"/>
        <w:rPr>
          <w:rFonts w:eastAsiaTheme="minorEastAsia"/>
          <w:color w:val="000000" w:themeColor="text1"/>
          <w:lang w:val="es-MX"/>
        </w:rPr>
      </w:pPr>
      <w:r>
        <w:rPr>
          <w:lang w:val="es-PR"/>
        </w:rPr>
        <w:t xml:space="preserve">El indicador B7 aborda </w:t>
      </w:r>
      <w:r>
        <w:rPr>
          <w:rFonts w:ascii="Calibri" w:hAnsi="Calibri"/>
          <w:color w:val="000000" w:themeColor="text1"/>
          <w:lang w:val="es-PR"/>
        </w:rPr>
        <w:t>una Educación Pública Apropiada y Gratuita (FAPE) en el Ambiente Menos Restrictivo (LRE)</w:t>
      </w:r>
      <w:r>
        <w:rPr>
          <w:lang w:val="es-PR"/>
        </w:rPr>
        <w:t xml:space="preserve"> midiendo </w:t>
      </w:r>
      <w:r>
        <w:rPr>
          <w:color w:val="000000" w:themeColor="text1"/>
          <w:lang w:val="es-PR"/>
        </w:rPr>
        <w:t>el Porcentaje de niños en edad preescolar de 3 a 5 años con IFSP que demuestran haber mejorado:</w:t>
      </w:r>
    </w:p>
    <w:p w14:paraId="3A8ACFFC" w14:textId="2CBB6444" w:rsidR="68430429" w:rsidRPr="000E1C07" w:rsidRDefault="68430429" w:rsidP="00891293">
      <w:pPr>
        <w:pStyle w:val="ListParagraph"/>
        <w:numPr>
          <w:ilvl w:val="0"/>
          <w:numId w:val="2"/>
        </w:numPr>
        <w:spacing w:line="240" w:lineRule="auto"/>
        <w:rPr>
          <w:rFonts w:eastAsiaTheme="minorEastAsia"/>
          <w:color w:val="000000" w:themeColor="text1"/>
          <w:lang w:val="es-MX"/>
        </w:rPr>
      </w:pPr>
      <w:r>
        <w:rPr>
          <w:rFonts w:eastAsiaTheme="minorEastAsia"/>
          <w:color w:val="000000" w:themeColor="text1"/>
          <w:lang w:val="es-PR"/>
        </w:rPr>
        <w:t>A. Habilidades socioemocionales positivas (incluidas las relaciones sociales);</w:t>
      </w:r>
    </w:p>
    <w:p w14:paraId="38DD7A53" w14:textId="105C2F05" w:rsidR="68430429" w:rsidRPr="000E1C07" w:rsidRDefault="68430429" w:rsidP="00891293">
      <w:pPr>
        <w:pStyle w:val="ListParagraph"/>
        <w:numPr>
          <w:ilvl w:val="0"/>
          <w:numId w:val="2"/>
        </w:numPr>
        <w:spacing w:line="240" w:lineRule="auto"/>
        <w:rPr>
          <w:rFonts w:eastAsiaTheme="minorEastAsia"/>
          <w:color w:val="000000" w:themeColor="text1"/>
          <w:lang w:val="es-MX"/>
        </w:rPr>
      </w:pPr>
      <w:r>
        <w:rPr>
          <w:rFonts w:eastAsiaTheme="minorEastAsia"/>
          <w:color w:val="000000" w:themeColor="text1"/>
          <w:lang w:val="es-PR"/>
        </w:rPr>
        <w:t>B. Adquisición y uso de conocimientos y habilidades (incluyendo lenguaje/comunicación temprana y alfabetización temprana); y</w:t>
      </w:r>
    </w:p>
    <w:p w14:paraId="4B048890" w14:textId="3FE9323E" w:rsidR="68430429" w:rsidRPr="000E1C07" w:rsidRDefault="68430429" w:rsidP="00891293">
      <w:pPr>
        <w:pStyle w:val="ListParagraph"/>
        <w:numPr>
          <w:ilvl w:val="0"/>
          <w:numId w:val="2"/>
        </w:numPr>
        <w:spacing w:after="80" w:line="240" w:lineRule="auto"/>
        <w:rPr>
          <w:rFonts w:eastAsiaTheme="minorEastAsia"/>
          <w:color w:val="000000" w:themeColor="text1"/>
          <w:lang w:val="es-MX"/>
        </w:rPr>
      </w:pPr>
      <w:r>
        <w:rPr>
          <w:rFonts w:eastAsiaTheme="minorEastAsia"/>
          <w:color w:val="000000" w:themeColor="text1"/>
          <w:lang w:val="es-PR"/>
        </w:rPr>
        <w:t>C. Uso de comportamientos apropiados para satisfacer sus necesidades.</w:t>
      </w:r>
    </w:p>
    <w:p w14:paraId="070C1627" w14:textId="1A666B65" w:rsidR="48A21769" w:rsidRPr="000E1C07" w:rsidRDefault="1C4389B5" w:rsidP="00891293">
      <w:pPr>
        <w:spacing w:after="8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Este indicador muestra resultados educativos y de desarrollo para niños en edad preescolar en nuestros programas EI/ECSE.  Estos resultados están vinculados a los fondos de la Ley de Éxito Estudiantil, ya que los programas EI/ECSE de cada condado utilizan estos datos para priorizar la mejora en los resultados seleccionados.</w:t>
      </w:r>
    </w:p>
    <w:p w14:paraId="0665E1DC" w14:textId="54E6943D" w:rsidR="0501F36D" w:rsidRPr="000E1C07" w:rsidRDefault="00356BE5" w:rsidP="00A47CF8">
      <w:pPr>
        <w:pStyle w:val="Heading1"/>
        <w:spacing w:line="240" w:lineRule="auto"/>
        <w:rPr>
          <w:rFonts w:asciiTheme="minorHAnsi" w:eastAsiaTheme="minorEastAsia" w:hAnsiTheme="minorHAnsi" w:cstheme="minorBidi"/>
          <w:color w:val="1B75BC"/>
          <w:sz w:val="22"/>
          <w:szCs w:val="22"/>
          <w:lang w:val="es-MX"/>
        </w:rPr>
      </w:pPr>
      <w:r>
        <w:rPr>
          <w:rFonts w:asciiTheme="minorHAnsi" w:hAnsiTheme="minorHAnsi" w:cstheme="minorBidi"/>
          <w:b/>
          <w:bCs/>
          <w:color w:val="1B75BC"/>
          <w:lang w:val="es-PR"/>
        </w:rPr>
        <w:t xml:space="preserve">¿Cuál es la fuente de datos?  </w:t>
      </w:r>
    </w:p>
    <w:p w14:paraId="258FDD60" w14:textId="056F2D7C" w:rsidR="0501F36D" w:rsidRPr="000E1C07" w:rsidRDefault="169498DA" w:rsidP="00891293">
      <w:pPr>
        <w:pStyle w:val="Heading1"/>
        <w:spacing w:before="0" w:line="240" w:lineRule="auto"/>
        <w:rPr>
          <w:rFonts w:asciiTheme="minorHAnsi" w:eastAsiaTheme="minorEastAsia" w:hAnsiTheme="minorHAnsi" w:cstheme="minorBidi"/>
          <w:color w:val="000000" w:themeColor="text1"/>
          <w:sz w:val="22"/>
          <w:szCs w:val="22"/>
          <w:lang w:val="es-MX"/>
        </w:rPr>
      </w:pPr>
      <w:r>
        <w:rPr>
          <w:rFonts w:asciiTheme="minorHAnsi" w:eastAsiaTheme="minorEastAsia" w:hAnsiTheme="minorHAnsi" w:cstheme="minorBidi"/>
          <w:color w:val="000000" w:themeColor="text1"/>
          <w:sz w:val="22"/>
          <w:szCs w:val="22"/>
          <w:lang w:val="es-PR"/>
        </w:rPr>
        <w:t xml:space="preserve">A través de un contratista, el estado puede agregar datos seleccionados de elementos específicos dentro del Sistema de Evaluación, Evaluación y Programación (AEPS) para bebés y niños. Esta evaluación basada en criterios ha sido adoptada por el estado y se utiliza en todos los programas de Intervención Temprana/Educación Especial Infantil Temprana (EI/ECSE) en todo el estado. </w:t>
      </w:r>
    </w:p>
    <w:p w14:paraId="1C1825B4" w14:textId="77777777" w:rsidR="006C7344" w:rsidRPr="000E1C07" w:rsidRDefault="006C7344" w:rsidP="00A47CF8">
      <w:pPr>
        <w:pStyle w:val="Heading1"/>
        <w:spacing w:line="240" w:lineRule="auto"/>
        <w:rPr>
          <w:rFonts w:asciiTheme="minorHAnsi" w:hAnsiTheme="minorHAnsi" w:cstheme="minorBidi"/>
          <w:b/>
          <w:bCs/>
          <w:color w:val="1B75BC"/>
          <w:lang w:val="es-MX"/>
        </w:rPr>
      </w:pPr>
      <w:r>
        <w:rPr>
          <w:rFonts w:asciiTheme="minorHAnsi" w:hAnsiTheme="minorHAnsi" w:cstheme="minorBidi"/>
          <w:b/>
          <w:bCs/>
          <w:color w:val="1B75BC"/>
          <w:lang w:val="es-PR"/>
        </w:rPr>
        <w:t>¿Es necesario establecer o restablecer la línea de base para este indicador?</w:t>
      </w:r>
    </w:p>
    <w:p w14:paraId="10DE9E12" w14:textId="467FA6AA" w:rsidR="006C7344" w:rsidRPr="000E1C07" w:rsidRDefault="006C7344" w:rsidP="00891293">
      <w:pPr>
        <w:spacing w:line="240" w:lineRule="auto"/>
        <w:rPr>
          <w:rFonts w:ascii="Calibri" w:eastAsia="Calibri" w:hAnsi="Calibri" w:cs="Calibri"/>
          <w:lang w:val="es-MX"/>
        </w:rPr>
      </w:pPr>
      <w:r>
        <w:rPr>
          <w:rFonts w:ascii="Calibri" w:eastAsia="Calibri" w:hAnsi="Calibri" w:cs="Calibri"/>
          <w:lang w:val="es-PR"/>
        </w:rPr>
        <w:t>No, el ODE no tiene la intención de restablecer esta línea de base este año. El año de datos de referencia actual es 2015 cuando Oregon cambió a la clasificación de Brookes Publishing Company para AEPS I y II para los resultados preescolares de B7. La agencia continuará con los datos de línea de base de 2015. Dado que Oregon adoptará el AEPS-3 para los datos de resultados preescolares de B7 para 2023, los objetivos establecidos este año serán difíciles de usar en el desempeño de los datos en los años siguientes.</w:t>
      </w:r>
    </w:p>
    <w:p w14:paraId="63FE7C1A" w14:textId="77777777" w:rsidR="000E3321" w:rsidRPr="000E1C07" w:rsidRDefault="000E3321" w:rsidP="00891293">
      <w:pPr>
        <w:spacing w:line="240" w:lineRule="auto"/>
        <w:rPr>
          <w:lang w:val="es-MX"/>
        </w:rPr>
      </w:pPr>
    </w:p>
    <w:p w14:paraId="46CD9973" w14:textId="77777777" w:rsidR="002330DF" w:rsidRPr="000E1C07" w:rsidRDefault="002330DF" w:rsidP="00891293">
      <w:pPr>
        <w:spacing w:line="240" w:lineRule="auto"/>
        <w:rPr>
          <w:rFonts w:eastAsiaTheme="majorEastAsia"/>
          <w:b/>
          <w:bCs/>
          <w:color w:val="1B75BC"/>
          <w:sz w:val="32"/>
          <w:szCs w:val="32"/>
          <w:lang w:val="es-MX"/>
        </w:rPr>
      </w:pPr>
      <w:r>
        <w:rPr>
          <w:b/>
          <w:bCs/>
          <w:color w:val="1B75BC"/>
          <w:lang w:val="es-PR"/>
        </w:rPr>
        <w:br w:type="page"/>
      </w:r>
    </w:p>
    <w:p w14:paraId="3E8946C2" w14:textId="2EA338FA" w:rsidR="006C7344" w:rsidRPr="000E1C07" w:rsidRDefault="67964785" w:rsidP="00891293">
      <w:pPr>
        <w:pStyle w:val="Heading1"/>
        <w:spacing w:before="120" w:line="240" w:lineRule="auto"/>
        <w:rPr>
          <w:rFonts w:asciiTheme="minorHAnsi" w:hAnsiTheme="minorHAnsi" w:cstheme="minorBidi"/>
          <w:b/>
          <w:bCs/>
          <w:color w:val="1B75BC"/>
          <w:lang w:val="es-MX"/>
        </w:rPr>
      </w:pPr>
      <w:r>
        <w:rPr>
          <w:rFonts w:asciiTheme="minorHAnsi" w:hAnsiTheme="minorHAnsi" w:cstheme="minorBidi"/>
          <w:b/>
          <w:bCs/>
          <w:color w:val="1B75BC"/>
          <w:lang w:val="es-PR"/>
        </w:rPr>
        <w:lastRenderedPageBreak/>
        <w:t>¿Cómo se ha desempeñado Oregon a lo largo del tiempo?</w:t>
      </w:r>
    </w:p>
    <w:p w14:paraId="6B3D13F5" w14:textId="5C1B4FC4" w:rsidR="00057550" w:rsidRPr="000E1C07" w:rsidRDefault="00057550" w:rsidP="00057550">
      <w:pPr>
        <w:rPr>
          <w:lang w:val="es-MX"/>
        </w:rPr>
      </w:pPr>
    </w:p>
    <w:p w14:paraId="437EA3EA" w14:textId="02E313E7" w:rsidR="002B268E" w:rsidRDefault="00B65DAE" w:rsidP="00891293">
      <w:pPr>
        <w:spacing w:before="120" w:after="0" w:line="240" w:lineRule="auto"/>
        <w:jc w:val="center"/>
        <w:rPr>
          <w:noProof/>
        </w:rPr>
      </w:pPr>
      <w:r>
        <w:rPr>
          <w:noProof/>
        </w:rPr>
        <w:drawing>
          <wp:inline distT="0" distB="0" distL="0" distR="0" wp14:anchorId="7552268E" wp14:editId="528CA3D0">
            <wp:extent cx="3383280" cy="3474720"/>
            <wp:effectExtent l="0" t="0" r="7620" b="11430"/>
            <wp:docPr id="9" name="Chart 9"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5C7F3339" wp14:editId="78753EB9">
            <wp:extent cx="3383280" cy="3474720"/>
            <wp:effectExtent l="0" t="0" r="7620" b="11430"/>
            <wp:docPr id="1" name="Chart 1"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4455F" w14:textId="77777777" w:rsidR="00057550" w:rsidRDefault="00057550" w:rsidP="00891293">
      <w:pPr>
        <w:spacing w:before="120" w:after="0" w:line="240" w:lineRule="auto"/>
        <w:jc w:val="center"/>
        <w:rPr>
          <w:noProof/>
        </w:rPr>
      </w:pPr>
    </w:p>
    <w:p w14:paraId="4D83CBFC" w14:textId="6CCADCDC" w:rsidR="00696549" w:rsidRDefault="00103F34" w:rsidP="00891293">
      <w:pPr>
        <w:spacing w:before="120" w:after="0" w:line="240" w:lineRule="auto"/>
        <w:jc w:val="center"/>
        <w:rPr>
          <w:rFonts w:ascii="Calibri" w:eastAsia="Calibri" w:hAnsi="Calibri" w:cs="Calibri"/>
          <w:b/>
          <w:bCs/>
          <w:color w:val="1B75BC"/>
          <w:sz w:val="24"/>
          <w:szCs w:val="24"/>
        </w:rPr>
      </w:pPr>
      <w:r>
        <w:rPr>
          <w:noProof/>
        </w:rPr>
        <w:drawing>
          <wp:inline distT="0" distB="0" distL="0" distR="0" wp14:anchorId="76AF739C" wp14:editId="44F42915">
            <wp:extent cx="3383280" cy="3474720"/>
            <wp:effectExtent l="0" t="0" r="7620" b="11430"/>
            <wp:docPr id="10" name="Chart 10"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s-PR"/>
        </w:rPr>
        <w:t xml:space="preserve"> </w:t>
      </w:r>
      <w:r>
        <w:rPr>
          <w:noProof/>
        </w:rPr>
        <w:drawing>
          <wp:inline distT="0" distB="0" distL="0" distR="0" wp14:anchorId="3C68763F" wp14:editId="0A810735">
            <wp:extent cx="3383280" cy="3474720"/>
            <wp:effectExtent l="0" t="0" r="7620" b="11430"/>
            <wp:docPr id="13" name="Chart 13"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355976" w14:textId="766CB5F6" w:rsidR="00696549" w:rsidRDefault="00696549" w:rsidP="00891293">
      <w:pPr>
        <w:pStyle w:val="NoSpacing"/>
      </w:pPr>
    </w:p>
    <w:p w14:paraId="72FD83AC" w14:textId="2BCBEDBE" w:rsidR="009E373C" w:rsidRDefault="001500B8" w:rsidP="00891293">
      <w:pPr>
        <w:pStyle w:val="NoSpacing"/>
        <w:rPr>
          <w:noProof/>
        </w:rPr>
      </w:pPr>
      <w:r>
        <w:rPr>
          <w:noProof/>
        </w:rPr>
        <w:lastRenderedPageBreak/>
        <w:drawing>
          <wp:inline distT="0" distB="0" distL="0" distR="0" wp14:anchorId="2E3F5508" wp14:editId="12FE2997">
            <wp:extent cx="3383280" cy="3474720"/>
            <wp:effectExtent l="0" t="0" r="7620" b="11430"/>
            <wp:docPr id="14" name="Chart 14"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s-PR"/>
        </w:rPr>
        <w:t xml:space="preserve"> </w:t>
      </w:r>
      <w:r>
        <w:rPr>
          <w:noProof/>
        </w:rPr>
        <w:drawing>
          <wp:inline distT="0" distB="0" distL="0" distR="0" wp14:anchorId="3BB512DC" wp14:editId="3B8E3536">
            <wp:extent cx="3383280" cy="3474720"/>
            <wp:effectExtent l="0" t="0" r="7620" b="11430"/>
            <wp:docPr id="19" name="Chart 19" title="Datos del indicador B7 de Oregon (resultados preescola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B8617" w14:textId="176CA938" w:rsidR="57FA87C5" w:rsidRPr="000E1C07" w:rsidRDefault="57FA87C5" w:rsidP="000E446A">
      <w:pPr>
        <w:spacing w:before="120" w:after="0" w:line="240" w:lineRule="auto"/>
        <w:rPr>
          <w:rFonts w:ascii="Calibri" w:eastAsia="Calibri" w:hAnsi="Calibri" w:cs="Calibri"/>
          <w:color w:val="1B75BC"/>
          <w:sz w:val="32"/>
          <w:szCs w:val="32"/>
          <w:lang w:val="es-MX"/>
        </w:rPr>
      </w:pPr>
      <w:r>
        <w:rPr>
          <w:rFonts w:ascii="Calibri" w:eastAsia="Calibri" w:hAnsi="Calibri" w:cs="Calibri"/>
          <w:b/>
          <w:bCs/>
          <w:color w:val="1B75BC"/>
          <w:sz w:val="32"/>
          <w:szCs w:val="32"/>
          <w:lang w:val="es-PR"/>
        </w:rPr>
        <w:t>¿Cuáles son los nuevos objetivos?</w:t>
      </w:r>
    </w:p>
    <w:p w14:paraId="5C5BE7F0" w14:textId="77777777" w:rsidR="009C00DB" w:rsidRDefault="009C00DB" w:rsidP="009C00DB">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 deseado en mente o examinar las tendencias a lo largo del tiempo y hacer predicciones basadas en las tendencias. Alguna información útil sobre cómo establecer objetivos:</w:t>
      </w:r>
    </w:p>
    <w:p w14:paraId="4CDDC28B" w14:textId="77777777" w:rsidR="009C00DB" w:rsidRDefault="009C00DB" w:rsidP="009C00DB">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lang w:val="es-PR"/>
        </w:rPr>
        <w:t>Los objetivos están destinados a respaldar mejores resultados y consecuencias para los niños y las familias. Deberían estar al alcance pero aún mostrar crecimiento. </w:t>
      </w:r>
    </w:p>
    <w:p w14:paraId="3E2F6365" w14:textId="727D3EF6" w:rsidR="57FA87C5" w:rsidRPr="000E1C07" w:rsidRDefault="009C00DB" w:rsidP="00FA236C">
      <w:pPr>
        <w:pStyle w:val="ListParagraph"/>
        <w:numPr>
          <w:ilvl w:val="0"/>
          <w:numId w:val="1"/>
        </w:numPr>
        <w:spacing w:after="60" w:line="240" w:lineRule="auto"/>
        <w:rPr>
          <w:rFonts w:eastAsiaTheme="minorEastAsia"/>
          <w:color w:val="000000" w:themeColor="text1"/>
          <w:sz w:val="24"/>
          <w:szCs w:val="24"/>
          <w:lang w:val="es-MX"/>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mejorar ligeramente durante el año objetivo final (año fiscal 2025). Alternativamente, los objetivos podrían mostrar una ligera mejora cada año.</w:t>
      </w:r>
    </w:p>
    <w:p w14:paraId="390CB6EC" w14:textId="4EB63435" w:rsidR="57FA87C5" w:rsidRDefault="57FA87C5" w:rsidP="00041319">
      <w:pPr>
        <w:spacing w:before="120"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A</w:t>
      </w:r>
    </w:p>
    <w:tbl>
      <w:tblPr>
        <w:tblStyle w:val="TableGrid"/>
        <w:tblW w:w="5000" w:type="pct"/>
        <w:tblLook w:val="04A0" w:firstRow="1" w:lastRow="0" w:firstColumn="1" w:lastColumn="0" w:noHBand="0" w:noVBand="1"/>
        <w:tblCaption w:val="Ejemplo A"/>
      </w:tblPr>
      <w:tblGrid>
        <w:gridCol w:w="2565"/>
        <w:gridCol w:w="1371"/>
        <w:gridCol w:w="1371"/>
        <w:gridCol w:w="1371"/>
        <w:gridCol w:w="1371"/>
        <w:gridCol w:w="1371"/>
        <w:gridCol w:w="1370"/>
      </w:tblGrid>
      <w:tr w:rsidR="15754C6C" w14:paraId="5878021A" w14:textId="77777777" w:rsidTr="00293819">
        <w:trPr>
          <w:tblHeader/>
        </w:trPr>
        <w:tc>
          <w:tcPr>
            <w:tcW w:w="1188" w:type="pct"/>
            <w:shd w:val="clear" w:color="auto" w:fill="ED7D31" w:themeFill="accent2"/>
          </w:tcPr>
          <w:p w14:paraId="03AB22CB" w14:textId="44003B8B" w:rsidR="15754C6C" w:rsidRDefault="15754C6C" w:rsidP="00891293">
            <w:pPr>
              <w:jc w:val="center"/>
              <w:rPr>
                <w:rFonts w:ascii="Calibri" w:eastAsia="Calibri" w:hAnsi="Calibri" w:cs="Calibri"/>
              </w:rPr>
            </w:pPr>
            <w:r>
              <w:rPr>
                <w:rFonts w:ascii="Calibri" w:eastAsia="Calibri" w:hAnsi="Calibri" w:cs="Calibri"/>
                <w:b/>
                <w:bCs/>
                <w:lang w:val="es-PR"/>
              </w:rPr>
              <w:t>Años fiscales</w:t>
            </w:r>
          </w:p>
        </w:tc>
        <w:tc>
          <w:tcPr>
            <w:tcW w:w="635" w:type="pct"/>
            <w:shd w:val="clear" w:color="auto" w:fill="ED7D31" w:themeFill="accent2"/>
          </w:tcPr>
          <w:p w14:paraId="2ACD69DC" w14:textId="15E2A615" w:rsidR="15754C6C" w:rsidRDefault="15754C6C" w:rsidP="00891293">
            <w:pPr>
              <w:jc w:val="center"/>
              <w:rPr>
                <w:rFonts w:ascii="Calibri" w:eastAsia="Calibri" w:hAnsi="Calibri" w:cs="Calibri"/>
              </w:rPr>
            </w:pPr>
            <w:r>
              <w:rPr>
                <w:rFonts w:ascii="Calibri" w:eastAsia="Calibri" w:hAnsi="Calibri" w:cs="Calibri"/>
                <w:b/>
                <w:bCs/>
                <w:lang w:val="es-PR"/>
              </w:rPr>
              <w:t>2020</w:t>
            </w:r>
          </w:p>
        </w:tc>
        <w:tc>
          <w:tcPr>
            <w:tcW w:w="635" w:type="pct"/>
            <w:shd w:val="clear" w:color="auto" w:fill="ED7D31" w:themeFill="accent2"/>
          </w:tcPr>
          <w:p w14:paraId="644D8259" w14:textId="033745FC" w:rsidR="15754C6C" w:rsidRDefault="15754C6C" w:rsidP="00891293">
            <w:pPr>
              <w:jc w:val="center"/>
              <w:rPr>
                <w:rFonts w:ascii="Calibri" w:eastAsia="Calibri" w:hAnsi="Calibri" w:cs="Calibri"/>
              </w:rPr>
            </w:pPr>
            <w:r>
              <w:rPr>
                <w:rFonts w:ascii="Calibri" w:eastAsia="Calibri" w:hAnsi="Calibri" w:cs="Calibri"/>
                <w:b/>
                <w:bCs/>
                <w:lang w:val="es-PR"/>
              </w:rPr>
              <w:t>2021</w:t>
            </w:r>
          </w:p>
        </w:tc>
        <w:tc>
          <w:tcPr>
            <w:tcW w:w="635" w:type="pct"/>
            <w:shd w:val="clear" w:color="auto" w:fill="ED7D31" w:themeFill="accent2"/>
          </w:tcPr>
          <w:p w14:paraId="2C66F2B5" w14:textId="5CFA7D65" w:rsidR="15754C6C" w:rsidRDefault="15754C6C" w:rsidP="00891293">
            <w:pPr>
              <w:jc w:val="center"/>
              <w:rPr>
                <w:rFonts w:ascii="Calibri" w:eastAsia="Calibri" w:hAnsi="Calibri" w:cs="Calibri"/>
              </w:rPr>
            </w:pPr>
            <w:r>
              <w:rPr>
                <w:rFonts w:ascii="Calibri" w:eastAsia="Calibri" w:hAnsi="Calibri" w:cs="Calibri"/>
                <w:b/>
                <w:bCs/>
                <w:lang w:val="es-PR"/>
              </w:rPr>
              <w:t>2022</w:t>
            </w:r>
          </w:p>
        </w:tc>
        <w:tc>
          <w:tcPr>
            <w:tcW w:w="635" w:type="pct"/>
            <w:shd w:val="clear" w:color="auto" w:fill="ED7D31" w:themeFill="accent2"/>
          </w:tcPr>
          <w:p w14:paraId="70C13B3D" w14:textId="56363FC9" w:rsidR="15754C6C" w:rsidRDefault="15754C6C" w:rsidP="00891293">
            <w:pPr>
              <w:jc w:val="center"/>
              <w:rPr>
                <w:rFonts w:ascii="Calibri" w:eastAsia="Calibri" w:hAnsi="Calibri" w:cs="Calibri"/>
              </w:rPr>
            </w:pPr>
            <w:r>
              <w:rPr>
                <w:rFonts w:ascii="Calibri" w:eastAsia="Calibri" w:hAnsi="Calibri" w:cs="Calibri"/>
                <w:b/>
                <w:bCs/>
                <w:lang w:val="es-PR"/>
              </w:rPr>
              <w:t>2023</w:t>
            </w:r>
          </w:p>
        </w:tc>
        <w:tc>
          <w:tcPr>
            <w:tcW w:w="635" w:type="pct"/>
            <w:shd w:val="clear" w:color="auto" w:fill="ED7D31" w:themeFill="accent2"/>
          </w:tcPr>
          <w:p w14:paraId="230ABC41" w14:textId="3EE6DDCB" w:rsidR="15754C6C" w:rsidRDefault="15754C6C" w:rsidP="00891293">
            <w:pPr>
              <w:jc w:val="center"/>
              <w:rPr>
                <w:rFonts w:ascii="Calibri" w:eastAsia="Calibri" w:hAnsi="Calibri" w:cs="Calibri"/>
              </w:rPr>
            </w:pPr>
            <w:r>
              <w:rPr>
                <w:rFonts w:ascii="Calibri" w:eastAsia="Calibri" w:hAnsi="Calibri" w:cs="Calibri"/>
                <w:b/>
                <w:bCs/>
                <w:lang w:val="es-PR"/>
              </w:rPr>
              <w:t>2024</w:t>
            </w:r>
          </w:p>
        </w:tc>
        <w:tc>
          <w:tcPr>
            <w:tcW w:w="635" w:type="pct"/>
            <w:shd w:val="clear" w:color="auto" w:fill="ED7D31" w:themeFill="accent2"/>
          </w:tcPr>
          <w:p w14:paraId="3D03D3E9" w14:textId="387685E6" w:rsidR="15754C6C" w:rsidRDefault="15754C6C" w:rsidP="00891293">
            <w:pPr>
              <w:jc w:val="center"/>
              <w:rPr>
                <w:rFonts w:ascii="Calibri" w:eastAsia="Calibri" w:hAnsi="Calibri" w:cs="Calibri"/>
              </w:rPr>
            </w:pPr>
            <w:r>
              <w:rPr>
                <w:rFonts w:ascii="Calibri" w:eastAsia="Calibri" w:hAnsi="Calibri" w:cs="Calibri"/>
                <w:b/>
                <w:bCs/>
                <w:lang w:val="es-PR"/>
              </w:rPr>
              <w:t>2025</w:t>
            </w:r>
          </w:p>
        </w:tc>
      </w:tr>
      <w:tr w:rsidR="15754C6C" w14:paraId="4114FCB0" w14:textId="77777777" w:rsidTr="0003646E">
        <w:tc>
          <w:tcPr>
            <w:tcW w:w="1188" w:type="pct"/>
          </w:tcPr>
          <w:p w14:paraId="2636066D" w14:textId="47158963" w:rsidR="15754C6C" w:rsidRDefault="15754C6C" w:rsidP="00891293">
            <w:pPr>
              <w:rPr>
                <w:rFonts w:ascii="Calibri" w:eastAsia="Calibri" w:hAnsi="Calibri" w:cs="Calibri"/>
              </w:rPr>
            </w:pPr>
            <w:r>
              <w:rPr>
                <w:rFonts w:ascii="Calibri" w:eastAsia="Calibri" w:hAnsi="Calibri" w:cs="Calibri"/>
                <w:lang w:val="es-PR"/>
              </w:rPr>
              <w:t>Objetivos para A1 ≥</w:t>
            </w:r>
          </w:p>
        </w:tc>
        <w:tc>
          <w:tcPr>
            <w:tcW w:w="635" w:type="pct"/>
          </w:tcPr>
          <w:p w14:paraId="75D788EB" w14:textId="3BE3D8E3" w:rsidR="15754C6C" w:rsidRDefault="48FAB91A" w:rsidP="00891293">
            <w:pPr>
              <w:jc w:val="center"/>
              <w:rPr>
                <w:rFonts w:ascii="Calibri" w:eastAsia="Calibri" w:hAnsi="Calibri" w:cs="Calibri"/>
              </w:rPr>
            </w:pPr>
            <w:r>
              <w:rPr>
                <w:rFonts w:ascii="Calibri" w:eastAsia="Calibri" w:hAnsi="Calibri" w:cs="Calibri"/>
                <w:lang w:val="es-PR"/>
              </w:rPr>
              <w:t>76.10%</w:t>
            </w:r>
          </w:p>
        </w:tc>
        <w:tc>
          <w:tcPr>
            <w:tcW w:w="635" w:type="pct"/>
          </w:tcPr>
          <w:p w14:paraId="10C3BBD2" w14:textId="25DA8B59" w:rsidR="15754C6C" w:rsidRDefault="24B85555" w:rsidP="00891293">
            <w:pPr>
              <w:jc w:val="center"/>
              <w:rPr>
                <w:rFonts w:ascii="Calibri" w:eastAsia="Calibri" w:hAnsi="Calibri" w:cs="Calibri"/>
              </w:rPr>
            </w:pPr>
            <w:r>
              <w:rPr>
                <w:rFonts w:ascii="Calibri" w:eastAsia="Calibri" w:hAnsi="Calibri" w:cs="Calibri"/>
                <w:lang w:val="es-PR"/>
              </w:rPr>
              <w:t>76.20%</w:t>
            </w:r>
          </w:p>
        </w:tc>
        <w:tc>
          <w:tcPr>
            <w:tcW w:w="635" w:type="pct"/>
          </w:tcPr>
          <w:p w14:paraId="3B31B6CE" w14:textId="66763A90" w:rsidR="15754C6C" w:rsidRDefault="24B85555" w:rsidP="00891293">
            <w:pPr>
              <w:jc w:val="center"/>
              <w:rPr>
                <w:rFonts w:ascii="Calibri" w:eastAsia="Calibri" w:hAnsi="Calibri" w:cs="Calibri"/>
              </w:rPr>
            </w:pPr>
            <w:r>
              <w:rPr>
                <w:rFonts w:ascii="Calibri" w:eastAsia="Calibri" w:hAnsi="Calibri" w:cs="Calibri"/>
                <w:lang w:val="es-PR"/>
              </w:rPr>
              <w:t>76.20%</w:t>
            </w:r>
          </w:p>
        </w:tc>
        <w:tc>
          <w:tcPr>
            <w:tcW w:w="635" w:type="pct"/>
          </w:tcPr>
          <w:p w14:paraId="7A36339E" w14:textId="2776A77A" w:rsidR="15754C6C" w:rsidRDefault="24B85555" w:rsidP="00891293">
            <w:pPr>
              <w:jc w:val="center"/>
              <w:rPr>
                <w:rFonts w:ascii="Calibri" w:eastAsia="Calibri" w:hAnsi="Calibri" w:cs="Calibri"/>
              </w:rPr>
            </w:pPr>
            <w:r>
              <w:rPr>
                <w:rFonts w:ascii="Calibri" w:eastAsia="Calibri" w:hAnsi="Calibri" w:cs="Calibri"/>
                <w:lang w:val="es-PR"/>
              </w:rPr>
              <w:t>76.30%</w:t>
            </w:r>
          </w:p>
        </w:tc>
        <w:tc>
          <w:tcPr>
            <w:tcW w:w="635" w:type="pct"/>
          </w:tcPr>
          <w:p w14:paraId="72BA3E21" w14:textId="14AD33EF" w:rsidR="15754C6C" w:rsidRDefault="24B85555" w:rsidP="00891293">
            <w:pPr>
              <w:jc w:val="center"/>
              <w:rPr>
                <w:rFonts w:ascii="Calibri" w:eastAsia="Calibri" w:hAnsi="Calibri" w:cs="Calibri"/>
              </w:rPr>
            </w:pPr>
            <w:r>
              <w:rPr>
                <w:rFonts w:ascii="Calibri" w:eastAsia="Calibri" w:hAnsi="Calibri" w:cs="Calibri"/>
                <w:lang w:val="es-PR"/>
              </w:rPr>
              <w:t>76.30%</w:t>
            </w:r>
          </w:p>
        </w:tc>
        <w:tc>
          <w:tcPr>
            <w:tcW w:w="635" w:type="pct"/>
          </w:tcPr>
          <w:p w14:paraId="240E72EB" w14:textId="0B9A7B5C" w:rsidR="15754C6C" w:rsidRDefault="24B85555" w:rsidP="00891293">
            <w:pPr>
              <w:jc w:val="center"/>
              <w:rPr>
                <w:rFonts w:ascii="Calibri" w:eastAsia="Calibri" w:hAnsi="Calibri" w:cs="Calibri"/>
              </w:rPr>
            </w:pPr>
            <w:r>
              <w:rPr>
                <w:rFonts w:ascii="Calibri" w:eastAsia="Calibri" w:hAnsi="Calibri" w:cs="Calibri"/>
                <w:lang w:val="es-PR"/>
              </w:rPr>
              <w:t>76.40%</w:t>
            </w:r>
          </w:p>
        </w:tc>
      </w:tr>
      <w:tr w:rsidR="15754C6C" w14:paraId="7C409BCA" w14:textId="77777777" w:rsidTr="0003646E">
        <w:tc>
          <w:tcPr>
            <w:tcW w:w="1188" w:type="pct"/>
          </w:tcPr>
          <w:p w14:paraId="3A84D036" w14:textId="2DDFFE65" w:rsidR="15754C6C" w:rsidRDefault="15754C6C" w:rsidP="00891293">
            <w:pPr>
              <w:rPr>
                <w:rFonts w:ascii="Calibri" w:eastAsia="Calibri" w:hAnsi="Calibri" w:cs="Calibri"/>
              </w:rPr>
            </w:pPr>
            <w:r>
              <w:rPr>
                <w:rFonts w:ascii="Calibri" w:eastAsia="Calibri" w:hAnsi="Calibri" w:cs="Calibri"/>
                <w:lang w:val="es-PR"/>
              </w:rPr>
              <w:t>Objetivos para A2 ≥</w:t>
            </w:r>
          </w:p>
        </w:tc>
        <w:tc>
          <w:tcPr>
            <w:tcW w:w="635" w:type="pct"/>
          </w:tcPr>
          <w:p w14:paraId="533C2671" w14:textId="1BCDB9A5" w:rsidR="15754C6C" w:rsidRDefault="2B16A432" w:rsidP="00891293">
            <w:pPr>
              <w:jc w:val="center"/>
              <w:rPr>
                <w:rFonts w:ascii="Calibri" w:eastAsia="Calibri" w:hAnsi="Calibri" w:cs="Calibri"/>
              </w:rPr>
            </w:pPr>
            <w:r>
              <w:rPr>
                <w:rFonts w:ascii="Calibri" w:eastAsia="Calibri" w:hAnsi="Calibri" w:cs="Calibri"/>
                <w:lang w:val="es-PR"/>
              </w:rPr>
              <w:t>60.50%</w:t>
            </w:r>
          </w:p>
        </w:tc>
        <w:tc>
          <w:tcPr>
            <w:tcW w:w="635" w:type="pct"/>
          </w:tcPr>
          <w:p w14:paraId="1A157CE0" w14:textId="43EC1480" w:rsidR="15754C6C" w:rsidRDefault="77C1CD47" w:rsidP="00891293">
            <w:pPr>
              <w:jc w:val="center"/>
              <w:rPr>
                <w:rFonts w:ascii="Calibri" w:eastAsia="Calibri" w:hAnsi="Calibri" w:cs="Calibri"/>
              </w:rPr>
            </w:pPr>
            <w:r>
              <w:rPr>
                <w:rFonts w:ascii="Calibri" w:eastAsia="Calibri" w:hAnsi="Calibri" w:cs="Calibri"/>
                <w:lang w:val="es-PR"/>
              </w:rPr>
              <w:t>60.60%</w:t>
            </w:r>
          </w:p>
        </w:tc>
        <w:tc>
          <w:tcPr>
            <w:tcW w:w="635" w:type="pct"/>
          </w:tcPr>
          <w:p w14:paraId="42370B46" w14:textId="25057A0A" w:rsidR="15754C6C" w:rsidRDefault="77C1CD47" w:rsidP="00891293">
            <w:pPr>
              <w:jc w:val="center"/>
              <w:rPr>
                <w:rFonts w:ascii="Calibri" w:eastAsia="Calibri" w:hAnsi="Calibri" w:cs="Calibri"/>
              </w:rPr>
            </w:pPr>
            <w:r>
              <w:rPr>
                <w:rFonts w:ascii="Calibri" w:eastAsia="Calibri" w:hAnsi="Calibri" w:cs="Calibri"/>
                <w:lang w:val="es-PR"/>
              </w:rPr>
              <w:t>60.60%</w:t>
            </w:r>
          </w:p>
        </w:tc>
        <w:tc>
          <w:tcPr>
            <w:tcW w:w="635" w:type="pct"/>
          </w:tcPr>
          <w:p w14:paraId="0435EE2F" w14:textId="1818811D" w:rsidR="15754C6C" w:rsidRDefault="77C1CD47" w:rsidP="00891293">
            <w:pPr>
              <w:jc w:val="center"/>
              <w:rPr>
                <w:rFonts w:ascii="Calibri" w:eastAsia="Calibri" w:hAnsi="Calibri" w:cs="Calibri"/>
              </w:rPr>
            </w:pPr>
            <w:r>
              <w:rPr>
                <w:rFonts w:ascii="Calibri" w:eastAsia="Calibri" w:hAnsi="Calibri" w:cs="Calibri"/>
                <w:lang w:val="es-PR"/>
              </w:rPr>
              <w:t>60.70%</w:t>
            </w:r>
          </w:p>
        </w:tc>
        <w:tc>
          <w:tcPr>
            <w:tcW w:w="635" w:type="pct"/>
          </w:tcPr>
          <w:p w14:paraId="27A117BF" w14:textId="046BDF0E" w:rsidR="15754C6C" w:rsidRDefault="77C1CD47" w:rsidP="00891293">
            <w:pPr>
              <w:jc w:val="center"/>
              <w:rPr>
                <w:rFonts w:ascii="Calibri" w:eastAsia="Calibri" w:hAnsi="Calibri" w:cs="Calibri"/>
              </w:rPr>
            </w:pPr>
            <w:r>
              <w:rPr>
                <w:rFonts w:ascii="Calibri" w:eastAsia="Calibri" w:hAnsi="Calibri" w:cs="Calibri"/>
                <w:lang w:val="es-PR"/>
              </w:rPr>
              <w:t>60.70%</w:t>
            </w:r>
          </w:p>
        </w:tc>
        <w:tc>
          <w:tcPr>
            <w:tcW w:w="635" w:type="pct"/>
          </w:tcPr>
          <w:p w14:paraId="1DB6E201" w14:textId="1023E53C" w:rsidR="15754C6C" w:rsidRDefault="77C1CD47" w:rsidP="00891293">
            <w:pPr>
              <w:jc w:val="center"/>
              <w:rPr>
                <w:rFonts w:ascii="Calibri" w:eastAsia="Calibri" w:hAnsi="Calibri" w:cs="Calibri"/>
              </w:rPr>
            </w:pPr>
            <w:r>
              <w:rPr>
                <w:rFonts w:ascii="Calibri" w:eastAsia="Calibri" w:hAnsi="Calibri" w:cs="Calibri"/>
                <w:lang w:val="es-PR"/>
              </w:rPr>
              <w:t>60.80%</w:t>
            </w:r>
          </w:p>
        </w:tc>
      </w:tr>
      <w:tr w:rsidR="15754C6C" w14:paraId="65B636B1" w14:textId="77777777" w:rsidTr="0003646E">
        <w:tc>
          <w:tcPr>
            <w:tcW w:w="1188" w:type="pct"/>
          </w:tcPr>
          <w:p w14:paraId="7ABBC616" w14:textId="3326EA49" w:rsidR="15754C6C" w:rsidRDefault="15754C6C" w:rsidP="00891293">
            <w:pPr>
              <w:rPr>
                <w:rFonts w:ascii="Calibri" w:eastAsia="Calibri" w:hAnsi="Calibri" w:cs="Calibri"/>
              </w:rPr>
            </w:pPr>
            <w:r>
              <w:rPr>
                <w:rFonts w:ascii="Calibri" w:eastAsia="Calibri" w:hAnsi="Calibri" w:cs="Calibri"/>
                <w:lang w:val="es-PR"/>
              </w:rPr>
              <w:t>Objetivos para B1 ≥</w:t>
            </w:r>
          </w:p>
        </w:tc>
        <w:tc>
          <w:tcPr>
            <w:tcW w:w="635" w:type="pct"/>
          </w:tcPr>
          <w:p w14:paraId="13F59E6F" w14:textId="28F0C9E5" w:rsidR="15754C6C" w:rsidRDefault="32B651B2" w:rsidP="00891293">
            <w:pPr>
              <w:jc w:val="center"/>
              <w:rPr>
                <w:rFonts w:ascii="Calibri" w:eastAsia="Calibri" w:hAnsi="Calibri" w:cs="Calibri"/>
              </w:rPr>
            </w:pPr>
            <w:r>
              <w:rPr>
                <w:rFonts w:ascii="Calibri" w:eastAsia="Calibri" w:hAnsi="Calibri" w:cs="Calibri"/>
                <w:lang w:val="es-PR"/>
              </w:rPr>
              <w:t>74.20%</w:t>
            </w:r>
          </w:p>
        </w:tc>
        <w:tc>
          <w:tcPr>
            <w:tcW w:w="635" w:type="pct"/>
          </w:tcPr>
          <w:p w14:paraId="24A64511" w14:textId="61118E80" w:rsidR="15754C6C" w:rsidRDefault="0F528EAE" w:rsidP="00891293">
            <w:pPr>
              <w:jc w:val="center"/>
              <w:rPr>
                <w:rFonts w:ascii="Calibri" w:eastAsia="Calibri" w:hAnsi="Calibri" w:cs="Calibri"/>
              </w:rPr>
            </w:pPr>
            <w:r>
              <w:rPr>
                <w:rFonts w:ascii="Calibri" w:eastAsia="Calibri" w:hAnsi="Calibri" w:cs="Calibri"/>
                <w:lang w:val="es-PR"/>
              </w:rPr>
              <w:t>74.30%</w:t>
            </w:r>
          </w:p>
        </w:tc>
        <w:tc>
          <w:tcPr>
            <w:tcW w:w="635" w:type="pct"/>
          </w:tcPr>
          <w:p w14:paraId="2B04EE95" w14:textId="5FAD3A47" w:rsidR="15754C6C" w:rsidRDefault="0F528EAE" w:rsidP="00891293">
            <w:pPr>
              <w:jc w:val="center"/>
              <w:rPr>
                <w:rFonts w:ascii="Calibri" w:eastAsia="Calibri" w:hAnsi="Calibri" w:cs="Calibri"/>
              </w:rPr>
            </w:pPr>
            <w:r>
              <w:rPr>
                <w:rFonts w:ascii="Calibri" w:eastAsia="Calibri" w:hAnsi="Calibri" w:cs="Calibri"/>
                <w:lang w:val="es-PR"/>
              </w:rPr>
              <w:t>74.30%</w:t>
            </w:r>
          </w:p>
        </w:tc>
        <w:tc>
          <w:tcPr>
            <w:tcW w:w="635" w:type="pct"/>
          </w:tcPr>
          <w:p w14:paraId="5E6FDBAF" w14:textId="6D7B7753" w:rsidR="15754C6C" w:rsidRDefault="0F528EAE" w:rsidP="00891293">
            <w:pPr>
              <w:jc w:val="center"/>
              <w:rPr>
                <w:rFonts w:ascii="Calibri" w:eastAsia="Calibri" w:hAnsi="Calibri" w:cs="Calibri"/>
              </w:rPr>
            </w:pPr>
            <w:r>
              <w:rPr>
                <w:rFonts w:ascii="Calibri" w:eastAsia="Calibri" w:hAnsi="Calibri" w:cs="Calibri"/>
                <w:lang w:val="es-PR"/>
              </w:rPr>
              <w:t>74.40%</w:t>
            </w:r>
          </w:p>
        </w:tc>
        <w:tc>
          <w:tcPr>
            <w:tcW w:w="635" w:type="pct"/>
          </w:tcPr>
          <w:p w14:paraId="72FC4358" w14:textId="6E341A8D" w:rsidR="15754C6C" w:rsidRDefault="0F528EAE" w:rsidP="00891293">
            <w:pPr>
              <w:jc w:val="center"/>
              <w:rPr>
                <w:rFonts w:ascii="Calibri" w:eastAsia="Calibri" w:hAnsi="Calibri" w:cs="Calibri"/>
              </w:rPr>
            </w:pPr>
            <w:r>
              <w:rPr>
                <w:rFonts w:ascii="Calibri" w:eastAsia="Calibri" w:hAnsi="Calibri" w:cs="Calibri"/>
                <w:lang w:val="es-PR"/>
              </w:rPr>
              <w:t>74.40%</w:t>
            </w:r>
          </w:p>
        </w:tc>
        <w:tc>
          <w:tcPr>
            <w:tcW w:w="635" w:type="pct"/>
          </w:tcPr>
          <w:p w14:paraId="2C3B60D6" w14:textId="4A8869A8" w:rsidR="15754C6C" w:rsidRDefault="0F528EAE" w:rsidP="00891293">
            <w:pPr>
              <w:jc w:val="center"/>
              <w:rPr>
                <w:rFonts w:ascii="Calibri" w:eastAsia="Calibri" w:hAnsi="Calibri" w:cs="Calibri"/>
              </w:rPr>
            </w:pPr>
            <w:r>
              <w:rPr>
                <w:rFonts w:ascii="Calibri" w:eastAsia="Calibri" w:hAnsi="Calibri" w:cs="Calibri"/>
                <w:lang w:val="es-PR"/>
              </w:rPr>
              <w:t>74.50%</w:t>
            </w:r>
          </w:p>
        </w:tc>
      </w:tr>
      <w:tr w:rsidR="15754C6C" w14:paraId="4390088F" w14:textId="77777777" w:rsidTr="0003646E">
        <w:tc>
          <w:tcPr>
            <w:tcW w:w="1188" w:type="pct"/>
          </w:tcPr>
          <w:p w14:paraId="5A4FA8D3" w14:textId="4F942AC3" w:rsidR="024AA183" w:rsidRDefault="024AA183" w:rsidP="00891293">
            <w:pPr>
              <w:rPr>
                <w:rFonts w:ascii="Calibri" w:eastAsia="Calibri" w:hAnsi="Calibri" w:cs="Calibri"/>
              </w:rPr>
            </w:pPr>
            <w:r>
              <w:rPr>
                <w:rFonts w:ascii="Calibri" w:eastAsia="Calibri" w:hAnsi="Calibri" w:cs="Calibri"/>
                <w:lang w:val="es-PR"/>
              </w:rPr>
              <w:t>Objetivos para B2 ≥</w:t>
            </w:r>
          </w:p>
        </w:tc>
        <w:tc>
          <w:tcPr>
            <w:tcW w:w="635" w:type="pct"/>
          </w:tcPr>
          <w:p w14:paraId="3AF6F713" w14:textId="0AC24160" w:rsidR="15754C6C" w:rsidRDefault="1C188B18" w:rsidP="00891293">
            <w:pPr>
              <w:jc w:val="center"/>
              <w:rPr>
                <w:rFonts w:ascii="Calibri" w:eastAsia="Calibri" w:hAnsi="Calibri" w:cs="Calibri"/>
              </w:rPr>
            </w:pPr>
            <w:r>
              <w:rPr>
                <w:rFonts w:ascii="Calibri" w:eastAsia="Calibri" w:hAnsi="Calibri" w:cs="Calibri"/>
                <w:lang w:val="es-PR"/>
              </w:rPr>
              <w:t>58.10%</w:t>
            </w:r>
          </w:p>
        </w:tc>
        <w:tc>
          <w:tcPr>
            <w:tcW w:w="635" w:type="pct"/>
          </w:tcPr>
          <w:p w14:paraId="19A7AD8F" w14:textId="2291C252" w:rsidR="15754C6C" w:rsidRDefault="7AEDFBEC" w:rsidP="00891293">
            <w:pPr>
              <w:jc w:val="center"/>
              <w:rPr>
                <w:rFonts w:ascii="Calibri" w:eastAsia="Calibri" w:hAnsi="Calibri" w:cs="Calibri"/>
              </w:rPr>
            </w:pPr>
            <w:r>
              <w:rPr>
                <w:rFonts w:ascii="Calibri" w:eastAsia="Calibri" w:hAnsi="Calibri" w:cs="Calibri"/>
                <w:lang w:val="es-PR"/>
              </w:rPr>
              <w:t>58.20%</w:t>
            </w:r>
          </w:p>
        </w:tc>
        <w:tc>
          <w:tcPr>
            <w:tcW w:w="635" w:type="pct"/>
          </w:tcPr>
          <w:p w14:paraId="41842C29" w14:textId="11C5A8F1" w:rsidR="15754C6C" w:rsidRDefault="7AEDFBEC" w:rsidP="00891293">
            <w:pPr>
              <w:jc w:val="center"/>
              <w:rPr>
                <w:rFonts w:ascii="Calibri" w:eastAsia="Calibri" w:hAnsi="Calibri" w:cs="Calibri"/>
              </w:rPr>
            </w:pPr>
            <w:r>
              <w:rPr>
                <w:rFonts w:ascii="Calibri" w:eastAsia="Calibri" w:hAnsi="Calibri" w:cs="Calibri"/>
                <w:lang w:val="es-PR"/>
              </w:rPr>
              <w:t>58.20%</w:t>
            </w:r>
          </w:p>
        </w:tc>
        <w:tc>
          <w:tcPr>
            <w:tcW w:w="635" w:type="pct"/>
          </w:tcPr>
          <w:p w14:paraId="5EEF4AC5" w14:textId="3044A79E" w:rsidR="15754C6C" w:rsidRDefault="7AEDFBEC" w:rsidP="00891293">
            <w:pPr>
              <w:jc w:val="center"/>
              <w:rPr>
                <w:rFonts w:ascii="Calibri" w:eastAsia="Calibri" w:hAnsi="Calibri" w:cs="Calibri"/>
              </w:rPr>
            </w:pPr>
            <w:r>
              <w:rPr>
                <w:rFonts w:ascii="Calibri" w:eastAsia="Calibri" w:hAnsi="Calibri" w:cs="Calibri"/>
                <w:lang w:val="es-PR"/>
              </w:rPr>
              <w:t>58.30%</w:t>
            </w:r>
          </w:p>
        </w:tc>
        <w:tc>
          <w:tcPr>
            <w:tcW w:w="635" w:type="pct"/>
          </w:tcPr>
          <w:p w14:paraId="0D50932F" w14:textId="2B7ADCC2" w:rsidR="15754C6C" w:rsidRDefault="7AEDFBEC" w:rsidP="00891293">
            <w:pPr>
              <w:jc w:val="center"/>
              <w:rPr>
                <w:rFonts w:ascii="Calibri" w:eastAsia="Calibri" w:hAnsi="Calibri" w:cs="Calibri"/>
              </w:rPr>
            </w:pPr>
            <w:r>
              <w:rPr>
                <w:rFonts w:ascii="Calibri" w:eastAsia="Calibri" w:hAnsi="Calibri" w:cs="Calibri"/>
                <w:lang w:val="es-PR"/>
              </w:rPr>
              <w:t>58.30%</w:t>
            </w:r>
          </w:p>
        </w:tc>
        <w:tc>
          <w:tcPr>
            <w:tcW w:w="635" w:type="pct"/>
          </w:tcPr>
          <w:p w14:paraId="71835B45" w14:textId="72A46C8A" w:rsidR="15754C6C" w:rsidRDefault="7AEDFBEC" w:rsidP="00891293">
            <w:pPr>
              <w:jc w:val="center"/>
              <w:rPr>
                <w:rFonts w:ascii="Calibri" w:eastAsia="Calibri" w:hAnsi="Calibri" w:cs="Calibri"/>
              </w:rPr>
            </w:pPr>
            <w:r>
              <w:rPr>
                <w:rFonts w:ascii="Calibri" w:eastAsia="Calibri" w:hAnsi="Calibri" w:cs="Calibri"/>
                <w:lang w:val="es-PR"/>
              </w:rPr>
              <w:t>58.40%</w:t>
            </w:r>
          </w:p>
        </w:tc>
      </w:tr>
      <w:tr w:rsidR="15754C6C" w14:paraId="40E1689C" w14:textId="77777777" w:rsidTr="0003646E">
        <w:tc>
          <w:tcPr>
            <w:tcW w:w="1188" w:type="pct"/>
          </w:tcPr>
          <w:p w14:paraId="711008B4" w14:textId="0BB440C5" w:rsidR="024AA183" w:rsidRDefault="024AA183" w:rsidP="00891293">
            <w:pPr>
              <w:rPr>
                <w:rFonts w:ascii="Calibri" w:eastAsia="Calibri" w:hAnsi="Calibri" w:cs="Calibri"/>
              </w:rPr>
            </w:pPr>
            <w:r>
              <w:rPr>
                <w:rFonts w:ascii="Calibri" w:eastAsia="Calibri" w:hAnsi="Calibri" w:cs="Calibri"/>
                <w:lang w:val="es-PR"/>
              </w:rPr>
              <w:t>Objetivos para C1 ≥</w:t>
            </w:r>
          </w:p>
        </w:tc>
        <w:tc>
          <w:tcPr>
            <w:tcW w:w="635" w:type="pct"/>
          </w:tcPr>
          <w:p w14:paraId="7D436182" w14:textId="751E56D7" w:rsidR="15754C6C" w:rsidRDefault="248AD876" w:rsidP="00891293">
            <w:pPr>
              <w:jc w:val="center"/>
              <w:rPr>
                <w:rFonts w:ascii="Calibri" w:eastAsia="Calibri" w:hAnsi="Calibri" w:cs="Calibri"/>
              </w:rPr>
            </w:pPr>
            <w:r>
              <w:rPr>
                <w:rFonts w:ascii="Calibri" w:eastAsia="Calibri" w:hAnsi="Calibri" w:cs="Calibri"/>
                <w:lang w:val="es-PR"/>
              </w:rPr>
              <w:t>74.10%</w:t>
            </w:r>
          </w:p>
        </w:tc>
        <w:tc>
          <w:tcPr>
            <w:tcW w:w="635" w:type="pct"/>
          </w:tcPr>
          <w:p w14:paraId="4F12B51C" w14:textId="03A33E32" w:rsidR="15754C6C" w:rsidRDefault="4BBE4006" w:rsidP="00891293">
            <w:pPr>
              <w:jc w:val="center"/>
              <w:rPr>
                <w:rFonts w:ascii="Calibri" w:eastAsia="Calibri" w:hAnsi="Calibri" w:cs="Calibri"/>
              </w:rPr>
            </w:pPr>
            <w:r>
              <w:rPr>
                <w:rFonts w:ascii="Calibri" w:eastAsia="Calibri" w:hAnsi="Calibri" w:cs="Calibri"/>
                <w:lang w:val="es-PR"/>
              </w:rPr>
              <w:t>74.20%</w:t>
            </w:r>
          </w:p>
        </w:tc>
        <w:tc>
          <w:tcPr>
            <w:tcW w:w="635" w:type="pct"/>
          </w:tcPr>
          <w:p w14:paraId="402F26F7" w14:textId="415911A5" w:rsidR="15754C6C" w:rsidRDefault="4BBE4006" w:rsidP="00891293">
            <w:pPr>
              <w:jc w:val="center"/>
              <w:rPr>
                <w:rFonts w:ascii="Calibri" w:eastAsia="Calibri" w:hAnsi="Calibri" w:cs="Calibri"/>
              </w:rPr>
            </w:pPr>
            <w:r>
              <w:rPr>
                <w:rFonts w:ascii="Calibri" w:eastAsia="Calibri" w:hAnsi="Calibri" w:cs="Calibri"/>
                <w:lang w:val="es-PR"/>
              </w:rPr>
              <w:t>74.20%</w:t>
            </w:r>
          </w:p>
        </w:tc>
        <w:tc>
          <w:tcPr>
            <w:tcW w:w="635" w:type="pct"/>
          </w:tcPr>
          <w:p w14:paraId="26EEFC7E" w14:textId="5E0B6348" w:rsidR="15754C6C" w:rsidRDefault="4BBE4006" w:rsidP="00891293">
            <w:pPr>
              <w:jc w:val="center"/>
              <w:rPr>
                <w:rFonts w:ascii="Calibri" w:eastAsia="Calibri" w:hAnsi="Calibri" w:cs="Calibri"/>
              </w:rPr>
            </w:pPr>
            <w:r>
              <w:rPr>
                <w:rFonts w:ascii="Calibri" w:eastAsia="Calibri" w:hAnsi="Calibri" w:cs="Calibri"/>
                <w:lang w:val="es-PR"/>
              </w:rPr>
              <w:t>74.30%</w:t>
            </w:r>
          </w:p>
        </w:tc>
        <w:tc>
          <w:tcPr>
            <w:tcW w:w="635" w:type="pct"/>
          </w:tcPr>
          <w:p w14:paraId="230D17B3" w14:textId="3F808637" w:rsidR="15754C6C" w:rsidRDefault="4BBE4006" w:rsidP="00891293">
            <w:pPr>
              <w:jc w:val="center"/>
              <w:rPr>
                <w:rFonts w:ascii="Calibri" w:eastAsia="Calibri" w:hAnsi="Calibri" w:cs="Calibri"/>
              </w:rPr>
            </w:pPr>
            <w:r>
              <w:rPr>
                <w:rFonts w:ascii="Calibri" w:eastAsia="Calibri" w:hAnsi="Calibri" w:cs="Calibri"/>
                <w:lang w:val="es-PR"/>
              </w:rPr>
              <w:t>74.30%</w:t>
            </w:r>
          </w:p>
        </w:tc>
        <w:tc>
          <w:tcPr>
            <w:tcW w:w="635" w:type="pct"/>
          </w:tcPr>
          <w:p w14:paraId="6C242759" w14:textId="49F8113E" w:rsidR="15754C6C" w:rsidRDefault="4BBE4006" w:rsidP="00891293">
            <w:pPr>
              <w:jc w:val="center"/>
              <w:rPr>
                <w:rFonts w:ascii="Calibri" w:eastAsia="Calibri" w:hAnsi="Calibri" w:cs="Calibri"/>
              </w:rPr>
            </w:pPr>
            <w:r>
              <w:rPr>
                <w:rFonts w:ascii="Calibri" w:eastAsia="Calibri" w:hAnsi="Calibri" w:cs="Calibri"/>
                <w:lang w:val="es-PR"/>
              </w:rPr>
              <w:t>74.40%</w:t>
            </w:r>
          </w:p>
        </w:tc>
      </w:tr>
      <w:tr w:rsidR="15754C6C" w14:paraId="0517B699" w14:textId="77777777" w:rsidTr="0003646E">
        <w:tc>
          <w:tcPr>
            <w:tcW w:w="1188" w:type="pct"/>
          </w:tcPr>
          <w:p w14:paraId="76F66081" w14:textId="154E39CC" w:rsidR="024AA183" w:rsidRDefault="024AA183" w:rsidP="00891293">
            <w:pPr>
              <w:rPr>
                <w:rFonts w:ascii="Calibri" w:eastAsia="Calibri" w:hAnsi="Calibri" w:cs="Calibri"/>
              </w:rPr>
            </w:pPr>
            <w:r>
              <w:rPr>
                <w:rFonts w:ascii="Calibri" w:eastAsia="Calibri" w:hAnsi="Calibri" w:cs="Calibri"/>
                <w:lang w:val="es-PR"/>
              </w:rPr>
              <w:t>Objetivos para C2 ≥</w:t>
            </w:r>
          </w:p>
        </w:tc>
        <w:tc>
          <w:tcPr>
            <w:tcW w:w="635" w:type="pct"/>
          </w:tcPr>
          <w:p w14:paraId="5B71BA7D" w14:textId="03A29BCC" w:rsidR="15754C6C" w:rsidRDefault="373EEA53" w:rsidP="00891293">
            <w:pPr>
              <w:jc w:val="center"/>
              <w:rPr>
                <w:rFonts w:ascii="Calibri" w:eastAsia="Calibri" w:hAnsi="Calibri" w:cs="Calibri"/>
              </w:rPr>
            </w:pPr>
            <w:r>
              <w:rPr>
                <w:rFonts w:ascii="Calibri" w:eastAsia="Calibri" w:hAnsi="Calibri" w:cs="Calibri"/>
                <w:lang w:val="es-PR"/>
              </w:rPr>
              <w:t>61.50%</w:t>
            </w:r>
          </w:p>
        </w:tc>
        <w:tc>
          <w:tcPr>
            <w:tcW w:w="635" w:type="pct"/>
          </w:tcPr>
          <w:p w14:paraId="799F2FA9" w14:textId="3E6A80B0" w:rsidR="15754C6C" w:rsidRDefault="0C9C5911" w:rsidP="00891293">
            <w:pPr>
              <w:jc w:val="center"/>
              <w:rPr>
                <w:rFonts w:ascii="Calibri" w:eastAsia="Calibri" w:hAnsi="Calibri" w:cs="Calibri"/>
              </w:rPr>
            </w:pPr>
            <w:r>
              <w:rPr>
                <w:rFonts w:ascii="Calibri" w:eastAsia="Calibri" w:hAnsi="Calibri" w:cs="Calibri"/>
                <w:lang w:val="es-PR"/>
              </w:rPr>
              <w:t>61.60%</w:t>
            </w:r>
          </w:p>
        </w:tc>
        <w:tc>
          <w:tcPr>
            <w:tcW w:w="635" w:type="pct"/>
          </w:tcPr>
          <w:p w14:paraId="019FCE9F" w14:textId="517BC3C4" w:rsidR="15754C6C" w:rsidRDefault="0C9C5911" w:rsidP="00891293">
            <w:pPr>
              <w:jc w:val="center"/>
              <w:rPr>
                <w:rFonts w:ascii="Calibri" w:eastAsia="Calibri" w:hAnsi="Calibri" w:cs="Calibri"/>
              </w:rPr>
            </w:pPr>
            <w:r>
              <w:rPr>
                <w:rFonts w:ascii="Calibri" w:eastAsia="Calibri" w:hAnsi="Calibri" w:cs="Calibri"/>
                <w:lang w:val="es-PR"/>
              </w:rPr>
              <w:t>61.60%</w:t>
            </w:r>
          </w:p>
        </w:tc>
        <w:tc>
          <w:tcPr>
            <w:tcW w:w="635" w:type="pct"/>
          </w:tcPr>
          <w:p w14:paraId="6B11FB8C" w14:textId="126F3C9F" w:rsidR="15754C6C" w:rsidRDefault="0C9C5911" w:rsidP="00891293">
            <w:pPr>
              <w:jc w:val="center"/>
              <w:rPr>
                <w:rFonts w:ascii="Calibri" w:eastAsia="Calibri" w:hAnsi="Calibri" w:cs="Calibri"/>
              </w:rPr>
            </w:pPr>
            <w:r>
              <w:rPr>
                <w:rFonts w:ascii="Calibri" w:eastAsia="Calibri" w:hAnsi="Calibri" w:cs="Calibri"/>
                <w:lang w:val="es-PR"/>
              </w:rPr>
              <w:t>61.70%</w:t>
            </w:r>
          </w:p>
        </w:tc>
        <w:tc>
          <w:tcPr>
            <w:tcW w:w="635" w:type="pct"/>
          </w:tcPr>
          <w:p w14:paraId="5527FE80" w14:textId="1EB742F6" w:rsidR="15754C6C" w:rsidRDefault="0C9C5911" w:rsidP="00891293">
            <w:pPr>
              <w:jc w:val="center"/>
              <w:rPr>
                <w:rFonts w:ascii="Calibri" w:eastAsia="Calibri" w:hAnsi="Calibri" w:cs="Calibri"/>
              </w:rPr>
            </w:pPr>
            <w:r>
              <w:rPr>
                <w:rFonts w:ascii="Calibri" w:eastAsia="Calibri" w:hAnsi="Calibri" w:cs="Calibri"/>
                <w:lang w:val="es-PR"/>
              </w:rPr>
              <w:t>61.70%</w:t>
            </w:r>
          </w:p>
        </w:tc>
        <w:tc>
          <w:tcPr>
            <w:tcW w:w="635" w:type="pct"/>
          </w:tcPr>
          <w:p w14:paraId="2F17DEB5" w14:textId="19D74A04" w:rsidR="15754C6C" w:rsidRDefault="0C9C5911" w:rsidP="00891293">
            <w:pPr>
              <w:jc w:val="center"/>
              <w:rPr>
                <w:rFonts w:ascii="Calibri" w:eastAsia="Calibri" w:hAnsi="Calibri" w:cs="Calibri"/>
              </w:rPr>
            </w:pPr>
            <w:r>
              <w:rPr>
                <w:rFonts w:ascii="Calibri" w:eastAsia="Calibri" w:hAnsi="Calibri" w:cs="Calibri"/>
                <w:lang w:val="es-PR"/>
              </w:rPr>
              <w:t>61.80%</w:t>
            </w:r>
          </w:p>
        </w:tc>
      </w:tr>
    </w:tbl>
    <w:p w14:paraId="49B14BEA" w14:textId="5B49847F" w:rsidR="0BD6362E" w:rsidRPr="000E1C07" w:rsidRDefault="0BD6362E" w:rsidP="00891293">
      <w:pPr>
        <w:spacing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ejemplo A muestra un aumento gradual.</w:t>
      </w:r>
    </w:p>
    <w:p w14:paraId="494C3F4B" w14:textId="134C1FA6" w:rsidR="0BD6362E" w:rsidRDefault="0BD6362E" w:rsidP="00891293">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B</w:t>
      </w:r>
    </w:p>
    <w:tbl>
      <w:tblPr>
        <w:tblStyle w:val="TableGrid"/>
        <w:tblW w:w="5000" w:type="pct"/>
        <w:tblLook w:val="04A0" w:firstRow="1" w:lastRow="0" w:firstColumn="1" w:lastColumn="0" w:noHBand="0" w:noVBand="1"/>
        <w:tblCaption w:val="Ejemplo B"/>
      </w:tblPr>
      <w:tblGrid>
        <w:gridCol w:w="2565"/>
        <w:gridCol w:w="1371"/>
        <w:gridCol w:w="1371"/>
        <w:gridCol w:w="1371"/>
        <w:gridCol w:w="1371"/>
        <w:gridCol w:w="1371"/>
        <w:gridCol w:w="1370"/>
      </w:tblGrid>
      <w:tr w:rsidR="15754C6C" w14:paraId="00C4302F" w14:textId="77777777" w:rsidTr="00293819">
        <w:trPr>
          <w:tblHeader/>
        </w:trPr>
        <w:tc>
          <w:tcPr>
            <w:tcW w:w="1188" w:type="pct"/>
            <w:shd w:val="clear" w:color="auto" w:fill="FFC000" w:themeFill="accent4"/>
          </w:tcPr>
          <w:p w14:paraId="07F63D11" w14:textId="6C6647C1" w:rsidR="15754C6C" w:rsidRDefault="15754C6C" w:rsidP="00891293">
            <w:pPr>
              <w:jc w:val="center"/>
              <w:rPr>
                <w:rFonts w:ascii="Calibri" w:eastAsia="Calibri" w:hAnsi="Calibri" w:cs="Calibri"/>
              </w:rPr>
            </w:pPr>
            <w:bookmarkStart w:id="0" w:name="_GoBack" w:colFirst="0" w:colLast="7"/>
            <w:r>
              <w:rPr>
                <w:rFonts w:ascii="Calibri" w:eastAsia="Calibri" w:hAnsi="Calibri" w:cs="Calibri"/>
                <w:b/>
                <w:bCs/>
                <w:lang w:val="es-PR"/>
              </w:rPr>
              <w:t>Años fiscales</w:t>
            </w:r>
          </w:p>
        </w:tc>
        <w:tc>
          <w:tcPr>
            <w:tcW w:w="635" w:type="pct"/>
            <w:shd w:val="clear" w:color="auto" w:fill="FFC000" w:themeFill="accent4"/>
          </w:tcPr>
          <w:p w14:paraId="49725FB0" w14:textId="68993338" w:rsidR="15754C6C" w:rsidRDefault="15754C6C" w:rsidP="00891293">
            <w:pPr>
              <w:jc w:val="center"/>
              <w:rPr>
                <w:rFonts w:ascii="Calibri" w:eastAsia="Calibri" w:hAnsi="Calibri" w:cs="Calibri"/>
              </w:rPr>
            </w:pPr>
            <w:r>
              <w:rPr>
                <w:rFonts w:ascii="Calibri" w:eastAsia="Calibri" w:hAnsi="Calibri" w:cs="Calibri"/>
                <w:b/>
                <w:bCs/>
                <w:lang w:val="es-PR"/>
              </w:rPr>
              <w:t>2020</w:t>
            </w:r>
          </w:p>
        </w:tc>
        <w:tc>
          <w:tcPr>
            <w:tcW w:w="635" w:type="pct"/>
            <w:shd w:val="clear" w:color="auto" w:fill="FFC000" w:themeFill="accent4"/>
          </w:tcPr>
          <w:p w14:paraId="14B3D26D" w14:textId="790CFA82" w:rsidR="15754C6C" w:rsidRDefault="15754C6C" w:rsidP="00891293">
            <w:pPr>
              <w:jc w:val="center"/>
              <w:rPr>
                <w:rFonts w:ascii="Calibri" w:eastAsia="Calibri" w:hAnsi="Calibri" w:cs="Calibri"/>
              </w:rPr>
            </w:pPr>
            <w:r>
              <w:rPr>
                <w:rFonts w:ascii="Calibri" w:eastAsia="Calibri" w:hAnsi="Calibri" w:cs="Calibri"/>
                <w:b/>
                <w:bCs/>
                <w:lang w:val="es-PR"/>
              </w:rPr>
              <w:t>2021</w:t>
            </w:r>
          </w:p>
        </w:tc>
        <w:tc>
          <w:tcPr>
            <w:tcW w:w="635" w:type="pct"/>
            <w:shd w:val="clear" w:color="auto" w:fill="FFC000" w:themeFill="accent4"/>
          </w:tcPr>
          <w:p w14:paraId="0A3AF785" w14:textId="3FD32765" w:rsidR="15754C6C" w:rsidRDefault="15754C6C" w:rsidP="00891293">
            <w:pPr>
              <w:jc w:val="center"/>
              <w:rPr>
                <w:rFonts w:ascii="Calibri" w:eastAsia="Calibri" w:hAnsi="Calibri" w:cs="Calibri"/>
              </w:rPr>
            </w:pPr>
            <w:r>
              <w:rPr>
                <w:rFonts w:ascii="Calibri" w:eastAsia="Calibri" w:hAnsi="Calibri" w:cs="Calibri"/>
                <w:b/>
                <w:bCs/>
                <w:lang w:val="es-PR"/>
              </w:rPr>
              <w:t>2022</w:t>
            </w:r>
          </w:p>
        </w:tc>
        <w:tc>
          <w:tcPr>
            <w:tcW w:w="635" w:type="pct"/>
            <w:shd w:val="clear" w:color="auto" w:fill="FFC000" w:themeFill="accent4"/>
          </w:tcPr>
          <w:p w14:paraId="1FF05632" w14:textId="1F9BEF83" w:rsidR="15754C6C" w:rsidRDefault="15754C6C" w:rsidP="00891293">
            <w:pPr>
              <w:jc w:val="center"/>
              <w:rPr>
                <w:rFonts w:ascii="Calibri" w:eastAsia="Calibri" w:hAnsi="Calibri" w:cs="Calibri"/>
              </w:rPr>
            </w:pPr>
            <w:r>
              <w:rPr>
                <w:rFonts w:ascii="Calibri" w:eastAsia="Calibri" w:hAnsi="Calibri" w:cs="Calibri"/>
                <w:b/>
                <w:bCs/>
                <w:lang w:val="es-PR"/>
              </w:rPr>
              <w:t>2023</w:t>
            </w:r>
          </w:p>
        </w:tc>
        <w:tc>
          <w:tcPr>
            <w:tcW w:w="635" w:type="pct"/>
            <w:shd w:val="clear" w:color="auto" w:fill="FFC000" w:themeFill="accent4"/>
          </w:tcPr>
          <w:p w14:paraId="303014E6" w14:textId="1266BA2D" w:rsidR="15754C6C" w:rsidRDefault="15754C6C" w:rsidP="00891293">
            <w:pPr>
              <w:jc w:val="center"/>
              <w:rPr>
                <w:rFonts w:ascii="Calibri" w:eastAsia="Calibri" w:hAnsi="Calibri" w:cs="Calibri"/>
              </w:rPr>
            </w:pPr>
            <w:r>
              <w:rPr>
                <w:rFonts w:ascii="Calibri" w:eastAsia="Calibri" w:hAnsi="Calibri" w:cs="Calibri"/>
                <w:b/>
                <w:bCs/>
                <w:lang w:val="es-PR"/>
              </w:rPr>
              <w:t>2024</w:t>
            </w:r>
          </w:p>
        </w:tc>
        <w:tc>
          <w:tcPr>
            <w:tcW w:w="635" w:type="pct"/>
            <w:shd w:val="clear" w:color="auto" w:fill="FFC000" w:themeFill="accent4"/>
          </w:tcPr>
          <w:p w14:paraId="5E315D52" w14:textId="64584D09" w:rsidR="15754C6C" w:rsidRDefault="15754C6C" w:rsidP="00891293">
            <w:pPr>
              <w:jc w:val="center"/>
              <w:rPr>
                <w:rFonts w:ascii="Calibri" w:eastAsia="Calibri" w:hAnsi="Calibri" w:cs="Calibri"/>
              </w:rPr>
            </w:pPr>
            <w:r>
              <w:rPr>
                <w:rFonts w:ascii="Calibri" w:eastAsia="Calibri" w:hAnsi="Calibri" w:cs="Calibri"/>
                <w:b/>
                <w:bCs/>
                <w:lang w:val="es-PR"/>
              </w:rPr>
              <w:t>2025</w:t>
            </w:r>
          </w:p>
        </w:tc>
      </w:tr>
      <w:bookmarkEnd w:id="0"/>
      <w:tr w:rsidR="15754C6C" w14:paraId="4C446DC0" w14:textId="77777777" w:rsidTr="0003646E">
        <w:tc>
          <w:tcPr>
            <w:tcW w:w="1188" w:type="pct"/>
          </w:tcPr>
          <w:p w14:paraId="37B840AD" w14:textId="47158963" w:rsidR="15754C6C" w:rsidRDefault="15754C6C" w:rsidP="00891293">
            <w:pPr>
              <w:rPr>
                <w:rFonts w:ascii="Calibri" w:eastAsia="Calibri" w:hAnsi="Calibri" w:cs="Calibri"/>
              </w:rPr>
            </w:pPr>
            <w:r>
              <w:rPr>
                <w:rFonts w:ascii="Calibri" w:eastAsia="Calibri" w:hAnsi="Calibri" w:cs="Calibri"/>
                <w:lang w:val="es-PR"/>
              </w:rPr>
              <w:t>Objetivos para A1 ≥</w:t>
            </w:r>
          </w:p>
        </w:tc>
        <w:tc>
          <w:tcPr>
            <w:tcW w:w="635" w:type="pct"/>
          </w:tcPr>
          <w:p w14:paraId="46A4AB4E" w14:textId="1EA6037E" w:rsidR="15754C6C" w:rsidRDefault="5954A417" w:rsidP="00891293">
            <w:pPr>
              <w:jc w:val="center"/>
              <w:rPr>
                <w:rFonts w:ascii="Calibri" w:eastAsia="Calibri" w:hAnsi="Calibri" w:cs="Calibri"/>
              </w:rPr>
            </w:pPr>
            <w:r>
              <w:rPr>
                <w:rFonts w:ascii="Calibri" w:eastAsia="Calibri" w:hAnsi="Calibri" w:cs="Calibri"/>
                <w:lang w:val="es-PR"/>
              </w:rPr>
              <w:t>76.10%</w:t>
            </w:r>
          </w:p>
        </w:tc>
        <w:tc>
          <w:tcPr>
            <w:tcW w:w="635" w:type="pct"/>
          </w:tcPr>
          <w:p w14:paraId="56C57DA2" w14:textId="586866B2" w:rsidR="15754C6C" w:rsidRDefault="0D8F53DD" w:rsidP="00891293">
            <w:pPr>
              <w:jc w:val="center"/>
              <w:rPr>
                <w:rFonts w:ascii="Calibri" w:eastAsia="Calibri" w:hAnsi="Calibri" w:cs="Calibri"/>
              </w:rPr>
            </w:pPr>
            <w:r>
              <w:rPr>
                <w:rFonts w:ascii="Calibri" w:eastAsia="Calibri" w:hAnsi="Calibri" w:cs="Calibri"/>
                <w:lang w:val="es-PR"/>
              </w:rPr>
              <w:t>76.30%</w:t>
            </w:r>
          </w:p>
        </w:tc>
        <w:tc>
          <w:tcPr>
            <w:tcW w:w="635" w:type="pct"/>
          </w:tcPr>
          <w:p w14:paraId="1E64FDFD" w14:textId="05CB90F7" w:rsidR="15754C6C" w:rsidRDefault="0D8F53DD" w:rsidP="00891293">
            <w:pPr>
              <w:jc w:val="center"/>
              <w:rPr>
                <w:rFonts w:ascii="Calibri" w:eastAsia="Calibri" w:hAnsi="Calibri" w:cs="Calibri"/>
              </w:rPr>
            </w:pPr>
            <w:r>
              <w:rPr>
                <w:rFonts w:ascii="Calibri" w:eastAsia="Calibri" w:hAnsi="Calibri" w:cs="Calibri"/>
                <w:lang w:val="es-PR"/>
              </w:rPr>
              <w:t>76.50%</w:t>
            </w:r>
          </w:p>
        </w:tc>
        <w:tc>
          <w:tcPr>
            <w:tcW w:w="635" w:type="pct"/>
          </w:tcPr>
          <w:p w14:paraId="6E1CED47" w14:textId="1F9293FF" w:rsidR="15754C6C" w:rsidRDefault="0D8F53DD" w:rsidP="00891293">
            <w:pPr>
              <w:jc w:val="center"/>
              <w:rPr>
                <w:rFonts w:ascii="Calibri" w:eastAsia="Calibri" w:hAnsi="Calibri" w:cs="Calibri"/>
              </w:rPr>
            </w:pPr>
            <w:r>
              <w:rPr>
                <w:rFonts w:ascii="Calibri" w:eastAsia="Calibri" w:hAnsi="Calibri" w:cs="Calibri"/>
                <w:lang w:val="es-PR"/>
              </w:rPr>
              <w:t>76.70%</w:t>
            </w:r>
          </w:p>
        </w:tc>
        <w:tc>
          <w:tcPr>
            <w:tcW w:w="635" w:type="pct"/>
          </w:tcPr>
          <w:p w14:paraId="08E6A1F1" w14:textId="6F884534" w:rsidR="15754C6C" w:rsidRDefault="0D8F53DD" w:rsidP="00891293">
            <w:pPr>
              <w:jc w:val="center"/>
              <w:rPr>
                <w:rFonts w:ascii="Calibri" w:eastAsia="Calibri" w:hAnsi="Calibri" w:cs="Calibri"/>
              </w:rPr>
            </w:pPr>
            <w:r>
              <w:rPr>
                <w:rFonts w:ascii="Calibri" w:eastAsia="Calibri" w:hAnsi="Calibri" w:cs="Calibri"/>
                <w:lang w:val="es-PR"/>
              </w:rPr>
              <w:t>76.90%</w:t>
            </w:r>
          </w:p>
        </w:tc>
        <w:tc>
          <w:tcPr>
            <w:tcW w:w="635" w:type="pct"/>
          </w:tcPr>
          <w:p w14:paraId="6B31B27D" w14:textId="637D09A9" w:rsidR="15754C6C" w:rsidRDefault="0D8F53DD" w:rsidP="00891293">
            <w:pPr>
              <w:jc w:val="center"/>
              <w:rPr>
                <w:rFonts w:ascii="Calibri" w:eastAsia="Calibri" w:hAnsi="Calibri" w:cs="Calibri"/>
              </w:rPr>
            </w:pPr>
            <w:r>
              <w:rPr>
                <w:rFonts w:ascii="Calibri" w:eastAsia="Calibri" w:hAnsi="Calibri" w:cs="Calibri"/>
                <w:lang w:val="es-PR"/>
              </w:rPr>
              <w:t>77.10%</w:t>
            </w:r>
          </w:p>
        </w:tc>
      </w:tr>
      <w:tr w:rsidR="15754C6C" w14:paraId="718DDD7A" w14:textId="77777777" w:rsidTr="0003646E">
        <w:tc>
          <w:tcPr>
            <w:tcW w:w="1188" w:type="pct"/>
          </w:tcPr>
          <w:p w14:paraId="117CBDCA" w14:textId="5A810BE8" w:rsidR="15754C6C" w:rsidRDefault="15754C6C" w:rsidP="00891293">
            <w:pPr>
              <w:rPr>
                <w:rFonts w:ascii="Calibri" w:eastAsia="Calibri" w:hAnsi="Calibri" w:cs="Calibri"/>
              </w:rPr>
            </w:pPr>
            <w:r>
              <w:rPr>
                <w:rFonts w:ascii="Calibri" w:eastAsia="Calibri" w:hAnsi="Calibri" w:cs="Calibri"/>
                <w:lang w:val="es-PR"/>
              </w:rPr>
              <w:t>Objetivos para A2 ≥</w:t>
            </w:r>
          </w:p>
        </w:tc>
        <w:tc>
          <w:tcPr>
            <w:tcW w:w="635" w:type="pct"/>
          </w:tcPr>
          <w:p w14:paraId="635696B8" w14:textId="448B1FEB" w:rsidR="15754C6C" w:rsidRDefault="408D246D" w:rsidP="00891293">
            <w:pPr>
              <w:jc w:val="center"/>
              <w:rPr>
                <w:rFonts w:ascii="Calibri" w:eastAsia="Calibri" w:hAnsi="Calibri" w:cs="Calibri"/>
              </w:rPr>
            </w:pPr>
            <w:r>
              <w:rPr>
                <w:rFonts w:ascii="Calibri" w:eastAsia="Calibri" w:hAnsi="Calibri" w:cs="Calibri"/>
                <w:lang w:val="es-PR"/>
              </w:rPr>
              <w:t>60.50%</w:t>
            </w:r>
          </w:p>
        </w:tc>
        <w:tc>
          <w:tcPr>
            <w:tcW w:w="635" w:type="pct"/>
          </w:tcPr>
          <w:p w14:paraId="0538F2D0" w14:textId="1760ADAB" w:rsidR="15754C6C" w:rsidRDefault="162F1E1A" w:rsidP="00891293">
            <w:pPr>
              <w:jc w:val="center"/>
              <w:rPr>
                <w:rFonts w:ascii="Calibri" w:eastAsia="Calibri" w:hAnsi="Calibri" w:cs="Calibri"/>
              </w:rPr>
            </w:pPr>
            <w:r>
              <w:rPr>
                <w:rFonts w:ascii="Calibri" w:eastAsia="Calibri" w:hAnsi="Calibri" w:cs="Calibri"/>
                <w:lang w:val="es-PR"/>
              </w:rPr>
              <w:t>60.70%</w:t>
            </w:r>
          </w:p>
        </w:tc>
        <w:tc>
          <w:tcPr>
            <w:tcW w:w="635" w:type="pct"/>
          </w:tcPr>
          <w:p w14:paraId="721CB51F" w14:textId="4237DF23" w:rsidR="15754C6C" w:rsidRDefault="162F1E1A" w:rsidP="00891293">
            <w:pPr>
              <w:jc w:val="center"/>
              <w:rPr>
                <w:rFonts w:ascii="Calibri" w:eastAsia="Calibri" w:hAnsi="Calibri" w:cs="Calibri"/>
              </w:rPr>
            </w:pPr>
            <w:r>
              <w:rPr>
                <w:rFonts w:ascii="Calibri" w:eastAsia="Calibri" w:hAnsi="Calibri" w:cs="Calibri"/>
                <w:lang w:val="es-PR"/>
              </w:rPr>
              <w:t>60.90%</w:t>
            </w:r>
          </w:p>
        </w:tc>
        <w:tc>
          <w:tcPr>
            <w:tcW w:w="635" w:type="pct"/>
          </w:tcPr>
          <w:p w14:paraId="07560DBC" w14:textId="39240B71" w:rsidR="15754C6C" w:rsidRDefault="162F1E1A" w:rsidP="00891293">
            <w:pPr>
              <w:jc w:val="center"/>
              <w:rPr>
                <w:rFonts w:ascii="Calibri" w:eastAsia="Calibri" w:hAnsi="Calibri" w:cs="Calibri"/>
              </w:rPr>
            </w:pPr>
            <w:r>
              <w:rPr>
                <w:rFonts w:ascii="Calibri" w:eastAsia="Calibri" w:hAnsi="Calibri" w:cs="Calibri"/>
                <w:lang w:val="es-PR"/>
              </w:rPr>
              <w:t>61.10%</w:t>
            </w:r>
          </w:p>
        </w:tc>
        <w:tc>
          <w:tcPr>
            <w:tcW w:w="635" w:type="pct"/>
          </w:tcPr>
          <w:p w14:paraId="1629B540" w14:textId="4F9F426D" w:rsidR="15754C6C" w:rsidRDefault="162F1E1A" w:rsidP="00891293">
            <w:pPr>
              <w:jc w:val="center"/>
              <w:rPr>
                <w:rFonts w:ascii="Calibri" w:eastAsia="Calibri" w:hAnsi="Calibri" w:cs="Calibri"/>
              </w:rPr>
            </w:pPr>
            <w:r>
              <w:rPr>
                <w:rFonts w:ascii="Calibri" w:eastAsia="Calibri" w:hAnsi="Calibri" w:cs="Calibri"/>
                <w:lang w:val="es-PR"/>
              </w:rPr>
              <w:t>61.30%</w:t>
            </w:r>
          </w:p>
        </w:tc>
        <w:tc>
          <w:tcPr>
            <w:tcW w:w="635" w:type="pct"/>
          </w:tcPr>
          <w:p w14:paraId="27ACB9CE" w14:textId="694FF153" w:rsidR="15754C6C" w:rsidRDefault="162F1E1A" w:rsidP="00891293">
            <w:pPr>
              <w:jc w:val="center"/>
              <w:rPr>
                <w:rFonts w:ascii="Calibri" w:eastAsia="Calibri" w:hAnsi="Calibri" w:cs="Calibri"/>
              </w:rPr>
            </w:pPr>
            <w:r>
              <w:rPr>
                <w:rFonts w:ascii="Calibri" w:eastAsia="Calibri" w:hAnsi="Calibri" w:cs="Calibri"/>
                <w:lang w:val="es-PR"/>
              </w:rPr>
              <w:t>62.50%</w:t>
            </w:r>
          </w:p>
        </w:tc>
      </w:tr>
      <w:tr w:rsidR="15754C6C" w14:paraId="7671F797" w14:textId="77777777" w:rsidTr="0003646E">
        <w:tc>
          <w:tcPr>
            <w:tcW w:w="1188" w:type="pct"/>
          </w:tcPr>
          <w:p w14:paraId="6F022D7C" w14:textId="4A8E012B" w:rsidR="15754C6C" w:rsidRDefault="15754C6C" w:rsidP="00891293">
            <w:pPr>
              <w:rPr>
                <w:rFonts w:ascii="Calibri" w:eastAsia="Calibri" w:hAnsi="Calibri" w:cs="Calibri"/>
              </w:rPr>
            </w:pPr>
            <w:r>
              <w:rPr>
                <w:rFonts w:ascii="Calibri" w:eastAsia="Calibri" w:hAnsi="Calibri" w:cs="Calibri"/>
                <w:lang w:val="es-PR"/>
              </w:rPr>
              <w:t>Objetivos para B1 ≥</w:t>
            </w:r>
          </w:p>
        </w:tc>
        <w:tc>
          <w:tcPr>
            <w:tcW w:w="635" w:type="pct"/>
          </w:tcPr>
          <w:p w14:paraId="0EDDD65C" w14:textId="53624DF7" w:rsidR="15754C6C" w:rsidRDefault="15AAEBF8" w:rsidP="00891293">
            <w:pPr>
              <w:jc w:val="center"/>
              <w:rPr>
                <w:rFonts w:ascii="Calibri" w:eastAsia="Calibri" w:hAnsi="Calibri" w:cs="Calibri"/>
              </w:rPr>
            </w:pPr>
            <w:r>
              <w:rPr>
                <w:rFonts w:ascii="Calibri" w:eastAsia="Calibri" w:hAnsi="Calibri" w:cs="Calibri"/>
                <w:lang w:val="es-PR"/>
              </w:rPr>
              <w:t>74.20%</w:t>
            </w:r>
          </w:p>
        </w:tc>
        <w:tc>
          <w:tcPr>
            <w:tcW w:w="635" w:type="pct"/>
          </w:tcPr>
          <w:p w14:paraId="11263A6D" w14:textId="74343B62" w:rsidR="15754C6C" w:rsidRDefault="66FF6233" w:rsidP="00891293">
            <w:pPr>
              <w:jc w:val="center"/>
              <w:rPr>
                <w:rFonts w:ascii="Calibri" w:eastAsia="Calibri" w:hAnsi="Calibri" w:cs="Calibri"/>
              </w:rPr>
            </w:pPr>
            <w:r>
              <w:rPr>
                <w:rFonts w:ascii="Calibri" w:eastAsia="Calibri" w:hAnsi="Calibri" w:cs="Calibri"/>
                <w:lang w:val="es-PR"/>
              </w:rPr>
              <w:t>74.40%</w:t>
            </w:r>
          </w:p>
        </w:tc>
        <w:tc>
          <w:tcPr>
            <w:tcW w:w="635" w:type="pct"/>
          </w:tcPr>
          <w:p w14:paraId="7D75B171" w14:textId="788B5A25" w:rsidR="15754C6C" w:rsidRDefault="66FF6233" w:rsidP="00891293">
            <w:pPr>
              <w:jc w:val="center"/>
              <w:rPr>
                <w:rFonts w:ascii="Calibri" w:eastAsia="Calibri" w:hAnsi="Calibri" w:cs="Calibri"/>
              </w:rPr>
            </w:pPr>
            <w:r>
              <w:rPr>
                <w:rFonts w:ascii="Calibri" w:eastAsia="Calibri" w:hAnsi="Calibri" w:cs="Calibri"/>
                <w:lang w:val="es-PR"/>
              </w:rPr>
              <w:t>74.60%</w:t>
            </w:r>
          </w:p>
        </w:tc>
        <w:tc>
          <w:tcPr>
            <w:tcW w:w="635" w:type="pct"/>
          </w:tcPr>
          <w:p w14:paraId="5352E8CA" w14:textId="636CFD10" w:rsidR="15754C6C" w:rsidRDefault="66FF6233" w:rsidP="00891293">
            <w:pPr>
              <w:jc w:val="center"/>
              <w:rPr>
                <w:rFonts w:ascii="Calibri" w:eastAsia="Calibri" w:hAnsi="Calibri" w:cs="Calibri"/>
              </w:rPr>
            </w:pPr>
            <w:r>
              <w:rPr>
                <w:rFonts w:ascii="Calibri" w:eastAsia="Calibri" w:hAnsi="Calibri" w:cs="Calibri"/>
                <w:lang w:val="es-PR"/>
              </w:rPr>
              <w:t>74.80%</w:t>
            </w:r>
          </w:p>
        </w:tc>
        <w:tc>
          <w:tcPr>
            <w:tcW w:w="635" w:type="pct"/>
          </w:tcPr>
          <w:p w14:paraId="5DFE0EAA" w14:textId="24C7F3E8" w:rsidR="15754C6C" w:rsidRDefault="66FF6233" w:rsidP="00891293">
            <w:pPr>
              <w:jc w:val="center"/>
              <w:rPr>
                <w:rFonts w:ascii="Calibri" w:eastAsia="Calibri" w:hAnsi="Calibri" w:cs="Calibri"/>
              </w:rPr>
            </w:pPr>
            <w:r>
              <w:rPr>
                <w:rFonts w:ascii="Calibri" w:eastAsia="Calibri" w:hAnsi="Calibri" w:cs="Calibri"/>
                <w:lang w:val="es-PR"/>
              </w:rPr>
              <w:t>75.00%</w:t>
            </w:r>
          </w:p>
        </w:tc>
        <w:tc>
          <w:tcPr>
            <w:tcW w:w="635" w:type="pct"/>
          </w:tcPr>
          <w:p w14:paraId="767FBB9B" w14:textId="2FB6AEF8" w:rsidR="15754C6C" w:rsidRDefault="66FF6233" w:rsidP="00891293">
            <w:pPr>
              <w:jc w:val="center"/>
              <w:rPr>
                <w:rFonts w:ascii="Calibri" w:eastAsia="Calibri" w:hAnsi="Calibri" w:cs="Calibri"/>
              </w:rPr>
            </w:pPr>
            <w:r>
              <w:rPr>
                <w:rFonts w:ascii="Calibri" w:eastAsia="Calibri" w:hAnsi="Calibri" w:cs="Calibri"/>
                <w:lang w:val="es-PR"/>
              </w:rPr>
              <w:t>75.20%</w:t>
            </w:r>
          </w:p>
        </w:tc>
      </w:tr>
      <w:tr w:rsidR="15754C6C" w14:paraId="7C4844EF" w14:textId="77777777" w:rsidTr="0003646E">
        <w:tc>
          <w:tcPr>
            <w:tcW w:w="1188" w:type="pct"/>
          </w:tcPr>
          <w:p w14:paraId="5FE4DD08" w14:textId="3C7CCCB1" w:rsidR="15754C6C" w:rsidRDefault="15754C6C" w:rsidP="00891293">
            <w:pPr>
              <w:rPr>
                <w:rFonts w:ascii="Calibri" w:eastAsia="Calibri" w:hAnsi="Calibri" w:cs="Calibri"/>
              </w:rPr>
            </w:pPr>
            <w:r>
              <w:rPr>
                <w:rFonts w:ascii="Calibri" w:eastAsia="Calibri" w:hAnsi="Calibri" w:cs="Calibri"/>
                <w:lang w:val="es-PR"/>
              </w:rPr>
              <w:t>Objetivos para B2 ≥</w:t>
            </w:r>
          </w:p>
        </w:tc>
        <w:tc>
          <w:tcPr>
            <w:tcW w:w="635" w:type="pct"/>
          </w:tcPr>
          <w:p w14:paraId="76ADB655" w14:textId="46B96511" w:rsidR="15754C6C" w:rsidRDefault="2A0376B5" w:rsidP="00891293">
            <w:pPr>
              <w:jc w:val="center"/>
              <w:rPr>
                <w:rFonts w:ascii="Calibri" w:eastAsia="Calibri" w:hAnsi="Calibri" w:cs="Calibri"/>
              </w:rPr>
            </w:pPr>
            <w:r>
              <w:rPr>
                <w:rFonts w:ascii="Calibri" w:eastAsia="Calibri" w:hAnsi="Calibri" w:cs="Calibri"/>
                <w:lang w:val="es-PR"/>
              </w:rPr>
              <w:t>58.10%</w:t>
            </w:r>
          </w:p>
        </w:tc>
        <w:tc>
          <w:tcPr>
            <w:tcW w:w="635" w:type="pct"/>
          </w:tcPr>
          <w:p w14:paraId="18F8862D" w14:textId="2B951D84" w:rsidR="15754C6C" w:rsidRDefault="5DE29632" w:rsidP="00891293">
            <w:pPr>
              <w:jc w:val="center"/>
              <w:rPr>
                <w:rFonts w:ascii="Calibri" w:eastAsia="Calibri" w:hAnsi="Calibri" w:cs="Calibri"/>
              </w:rPr>
            </w:pPr>
            <w:r>
              <w:rPr>
                <w:rFonts w:ascii="Calibri" w:eastAsia="Calibri" w:hAnsi="Calibri" w:cs="Calibri"/>
                <w:lang w:val="es-PR"/>
              </w:rPr>
              <w:t>58.30%</w:t>
            </w:r>
          </w:p>
        </w:tc>
        <w:tc>
          <w:tcPr>
            <w:tcW w:w="635" w:type="pct"/>
          </w:tcPr>
          <w:p w14:paraId="7240C662" w14:textId="57C36FC3" w:rsidR="15754C6C" w:rsidRDefault="5DE29632" w:rsidP="00891293">
            <w:pPr>
              <w:jc w:val="center"/>
              <w:rPr>
                <w:rFonts w:ascii="Calibri" w:eastAsia="Calibri" w:hAnsi="Calibri" w:cs="Calibri"/>
              </w:rPr>
            </w:pPr>
            <w:r>
              <w:rPr>
                <w:rFonts w:ascii="Calibri" w:eastAsia="Calibri" w:hAnsi="Calibri" w:cs="Calibri"/>
                <w:lang w:val="es-PR"/>
              </w:rPr>
              <w:t>58.30%</w:t>
            </w:r>
          </w:p>
        </w:tc>
        <w:tc>
          <w:tcPr>
            <w:tcW w:w="635" w:type="pct"/>
          </w:tcPr>
          <w:p w14:paraId="72510A08" w14:textId="5668C227" w:rsidR="15754C6C" w:rsidRDefault="5DE29632" w:rsidP="00891293">
            <w:pPr>
              <w:jc w:val="center"/>
              <w:rPr>
                <w:rFonts w:ascii="Calibri" w:eastAsia="Calibri" w:hAnsi="Calibri" w:cs="Calibri"/>
              </w:rPr>
            </w:pPr>
            <w:r>
              <w:rPr>
                <w:rFonts w:ascii="Calibri" w:eastAsia="Calibri" w:hAnsi="Calibri" w:cs="Calibri"/>
                <w:lang w:val="es-PR"/>
              </w:rPr>
              <w:t>58.50%</w:t>
            </w:r>
          </w:p>
        </w:tc>
        <w:tc>
          <w:tcPr>
            <w:tcW w:w="635" w:type="pct"/>
          </w:tcPr>
          <w:p w14:paraId="002CC6DE" w14:textId="5D26D742" w:rsidR="15754C6C" w:rsidRDefault="5DE29632" w:rsidP="00891293">
            <w:pPr>
              <w:jc w:val="center"/>
              <w:rPr>
                <w:rFonts w:ascii="Calibri" w:eastAsia="Calibri" w:hAnsi="Calibri" w:cs="Calibri"/>
              </w:rPr>
            </w:pPr>
            <w:r>
              <w:rPr>
                <w:rFonts w:ascii="Calibri" w:eastAsia="Calibri" w:hAnsi="Calibri" w:cs="Calibri"/>
                <w:lang w:val="es-PR"/>
              </w:rPr>
              <w:t>58.70%</w:t>
            </w:r>
          </w:p>
        </w:tc>
        <w:tc>
          <w:tcPr>
            <w:tcW w:w="635" w:type="pct"/>
          </w:tcPr>
          <w:p w14:paraId="14EC9D7B" w14:textId="504F0486" w:rsidR="15754C6C" w:rsidRDefault="5DE29632" w:rsidP="00891293">
            <w:pPr>
              <w:jc w:val="center"/>
              <w:rPr>
                <w:rFonts w:ascii="Calibri" w:eastAsia="Calibri" w:hAnsi="Calibri" w:cs="Calibri"/>
              </w:rPr>
            </w:pPr>
            <w:r>
              <w:rPr>
                <w:rFonts w:ascii="Calibri" w:eastAsia="Calibri" w:hAnsi="Calibri" w:cs="Calibri"/>
                <w:lang w:val="es-PR"/>
              </w:rPr>
              <w:t>58.90%</w:t>
            </w:r>
          </w:p>
        </w:tc>
      </w:tr>
      <w:tr w:rsidR="15754C6C" w14:paraId="3E1CEA68" w14:textId="77777777" w:rsidTr="0003646E">
        <w:tc>
          <w:tcPr>
            <w:tcW w:w="1188" w:type="pct"/>
          </w:tcPr>
          <w:p w14:paraId="2A643B7E" w14:textId="1271E7D8" w:rsidR="15754C6C" w:rsidRDefault="15754C6C" w:rsidP="00891293">
            <w:pPr>
              <w:rPr>
                <w:rFonts w:ascii="Calibri" w:eastAsia="Calibri" w:hAnsi="Calibri" w:cs="Calibri"/>
              </w:rPr>
            </w:pPr>
            <w:r>
              <w:rPr>
                <w:rFonts w:ascii="Calibri" w:eastAsia="Calibri" w:hAnsi="Calibri" w:cs="Calibri"/>
                <w:lang w:val="es-PR"/>
              </w:rPr>
              <w:t>Objetivos para C1 ≥</w:t>
            </w:r>
          </w:p>
        </w:tc>
        <w:tc>
          <w:tcPr>
            <w:tcW w:w="635" w:type="pct"/>
          </w:tcPr>
          <w:p w14:paraId="16A5A7A4" w14:textId="41732407" w:rsidR="15754C6C" w:rsidRDefault="17B18714" w:rsidP="00891293">
            <w:pPr>
              <w:jc w:val="center"/>
              <w:rPr>
                <w:rFonts w:ascii="Calibri" w:eastAsia="Calibri" w:hAnsi="Calibri" w:cs="Calibri"/>
              </w:rPr>
            </w:pPr>
            <w:r>
              <w:rPr>
                <w:rFonts w:ascii="Calibri" w:eastAsia="Calibri" w:hAnsi="Calibri" w:cs="Calibri"/>
                <w:lang w:val="es-PR"/>
              </w:rPr>
              <w:t>74.10%</w:t>
            </w:r>
          </w:p>
        </w:tc>
        <w:tc>
          <w:tcPr>
            <w:tcW w:w="635" w:type="pct"/>
          </w:tcPr>
          <w:p w14:paraId="0DCB1999" w14:textId="355BE576" w:rsidR="15754C6C" w:rsidRDefault="7092273C" w:rsidP="00891293">
            <w:pPr>
              <w:jc w:val="center"/>
              <w:rPr>
                <w:rFonts w:ascii="Calibri" w:eastAsia="Calibri" w:hAnsi="Calibri" w:cs="Calibri"/>
              </w:rPr>
            </w:pPr>
            <w:r>
              <w:rPr>
                <w:rFonts w:ascii="Calibri" w:eastAsia="Calibri" w:hAnsi="Calibri" w:cs="Calibri"/>
                <w:lang w:val="es-PR"/>
              </w:rPr>
              <w:t>74.30%</w:t>
            </w:r>
          </w:p>
        </w:tc>
        <w:tc>
          <w:tcPr>
            <w:tcW w:w="635" w:type="pct"/>
          </w:tcPr>
          <w:p w14:paraId="1AF2B278" w14:textId="429B436D" w:rsidR="15754C6C" w:rsidRDefault="7092273C" w:rsidP="00891293">
            <w:pPr>
              <w:jc w:val="center"/>
              <w:rPr>
                <w:rFonts w:ascii="Calibri" w:eastAsia="Calibri" w:hAnsi="Calibri" w:cs="Calibri"/>
              </w:rPr>
            </w:pPr>
            <w:r>
              <w:rPr>
                <w:rFonts w:ascii="Calibri" w:eastAsia="Calibri" w:hAnsi="Calibri" w:cs="Calibri"/>
                <w:lang w:val="es-PR"/>
              </w:rPr>
              <w:t>74.50%</w:t>
            </w:r>
          </w:p>
        </w:tc>
        <w:tc>
          <w:tcPr>
            <w:tcW w:w="635" w:type="pct"/>
          </w:tcPr>
          <w:p w14:paraId="2CAA0348" w14:textId="462751E1" w:rsidR="15754C6C" w:rsidRDefault="7092273C" w:rsidP="00891293">
            <w:pPr>
              <w:jc w:val="center"/>
              <w:rPr>
                <w:rFonts w:ascii="Calibri" w:eastAsia="Calibri" w:hAnsi="Calibri" w:cs="Calibri"/>
              </w:rPr>
            </w:pPr>
            <w:r>
              <w:rPr>
                <w:rFonts w:ascii="Calibri" w:eastAsia="Calibri" w:hAnsi="Calibri" w:cs="Calibri"/>
                <w:lang w:val="es-PR"/>
              </w:rPr>
              <w:t>74.70%</w:t>
            </w:r>
          </w:p>
        </w:tc>
        <w:tc>
          <w:tcPr>
            <w:tcW w:w="635" w:type="pct"/>
          </w:tcPr>
          <w:p w14:paraId="0AF5494E" w14:textId="6A308645" w:rsidR="15754C6C" w:rsidRDefault="7092273C" w:rsidP="00891293">
            <w:pPr>
              <w:jc w:val="center"/>
              <w:rPr>
                <w:rFonts w:ascii="Calibri" w:eastAsia="Calibri" w:hAnsi="Calibri" w:cs="Calibri"/>
              </w:rPr>
            </w:pPr>
            <w:r>
              <w:rPr>
                <w:rFonts w:ascii="Calibri" w:eastAsia="Calibri" w:hAnsi="Calibri" w:cs="Calibri"/>
                <w:lang w:val="es-PR"/>
              </w:rPr>
              <w:t>74.90%</w:t>
            </w:r>
          </w:p>
        </w:tc>
        <w:tc>
          <w:tcPr>
            <w:tcW w:w="635" w:type="pct"/>
          </w:tcPr>
          <w:p w14:paraId="497A3FD5" w14:textId="681C02D2" w:rsidR="15754C6C" w:rsidRDefault="7092273C" w:rsidP="00891293">
            <w:pPr>
              <w:jc w:val="center"/>
              <w:rPr>
                <w:rFonts w:ascii="Calibri" w:eastAsia="Calibri" w:hAnsi="Calibri" w:cs="Calibri"/>
              </w:rPr>
            </w:pPr>
            <w:r>
              <w:rPr>
                <w:rFonts w:ascii="Calibri" w:eastAsia="Calibri" w:hAnsi="Calibri" w:cs="Calibri"/>
                <w:lang w:val="es-PR"/>
              </w:rPr>
              <w:t>75.10%</w:t>
            </w:r>
          </w:p>
        </w:tc>
      </w:tr>
      <w:tr w:rsidR="15754C6C" w14:paraId="35B89E9B" w14:textId="77777777" w:rsidTr="0003646E">
        <w:tc>
          <w:tcPr>
            <w:tcW w:w="1188" w:type="pct"/>
          </w:tcPr>
          <w:p w14:paraId="523BCBDF" w14:textId="3FD007BD" w:rsidR="15754C6C" w:rsidRDefault="15754C6C" w:rsidP="00891293">
            <w:pPr>
              <w:rPr>
                <w:rFonts w:ascii="Calibri" w:eastAsia="Calibri" w:hAnsi="Calibri" w:cs="Calibri"/>
              </w:rPr>
            </w:pPr>
            <w:r>
              <w:rPr>
                <w:rFonts w:ascii="Calibri" w:eastAsia="Calibri" w:hAnsi="Calibri" w:cs="Calibri"/>
                <w:lang w:val="es-PR"/>
              </w:rPr>
              <w:t>Objetivos para C2 ≥</w:t>
            </w:r>
          </w:p>
        </w:tc>
        <w:tc>
          <w:tcPr>
            <w:tcW w:w="635" w:type="pct"/>
          </w:tcPr>
          <w:p w14:paraId="0EE55B0C" w14:textId="0E547900" w:rsidR="15754C6C" w:rsidRDefault="3E72BFEF" w:rsidP="00891293">
            <w:pPr>
              <w:jc w:val="center"/>
              <w:rPr>
                <w:rFonts w:ascii="Calibri" w:eastAsia="Calibri" w:hAnsi="Calibri" w:cs="Calibri"/>
              </w:rPr>
            </w:pPr>
            <w:r>
              <w:rPr>
                <w:rFonts w:ascii="Calibri" w:eastAsia="Calibri" w:hAnsi="Calibri" w:cs="Calibri"/>
                <w:lang w:val="es-PR"/>
              </w:rPr>
              <w:t>61.50%</w:t>
            </w:r>
          </w:p>
        </w:tc>
        <w:tc>
          <w:tcPr>
            <w:tcW w:w="635" w:type="pct"/>
          </w:tcPr>
          <w:p w14:paraId="76153990" w14:textId="56C9C89D" w:rsidR="15754C6C" w:rsidRDefault="103E80BE" w:rsidP="00891293">
            <w:pPr>
              <w:jc w:val="center"/>
              <w:rPr>
                <w:rFonts w:ascii="Calibri" w:eastAsia="Calibri" w:hAnsi="Calibri" w:cs="Calibri"/>
              </w:rPr>
            </w:pPr>
            <w:r>
              <w:rPr>
                <w:rFonts w:ascii="Calibri" w:eastAsia="Calibri" w:hAnsi="Calibri" w:cs="Calibri"/>
                <w:lang w:val="es-PR"/>
              </w:rPr>
              <w:t>61.70%</w:t>
            </w:r>
          </w:p>
        </w:tc>
        <w:tc>
          <w:tcPr>
            <w:tcW w:w="635" w:type="pct"/>
          </w:tcPr>
          <w:p w14:paraId="65676E09" w14:textId="1C43CEF6" w:rsidR="15754C6C" w:rsidRDefault="103E80BE" w:rsidP="00891293">
            <w:pPr>
              <w:jc w:val="center"/>
              <w:rPr>
                <w:rFonts w:ascii="Calibri" w:eastAsia="Calibri" w:hAnsi="Calibri" w:cs="Calibri"/>
              </w:rPr>
            </w:pPr>
            <w:r>
              <w:rPr>
                <w:rFonts w:ascii="Calibri" w:eastAsia="Calibri" w:hAnsi="Calibri" w:cs="Calibri"/>
                <w:lang w:val="es-PR"/>
              </w:rPr>
              <w:t>61.90%</w:t>
            </w:r>
          </w:p>
        </w:tc>
        <w:tc>
          <w:tcPr>
            <w:tcW w:w="635" w:type="pct"/>
          </w:tcPr>
          <w:p w14:paraId="23ADFC5B" w14:textId="09704D2F" w:rsidR="15754C6C" w:rsidRDefault="103E80BE" w:rsidP="00891293">
            <w:pPr>
              <w:jc w:val="center"/>
              <w:rPr>
                <w:rFonts w:ascii="Calibri" w:eastAsia="Calibri" w:hAnsi="Calibri" w:cs="Calibri"/>
              </w:rPr>
            </w:pPr>
            <w:r>
              <w:rPr>
                <w:rFonts w:ascii="Calibri" w:eastAsia="Calibri" w:hAnsi="Calibri" w:cs="Calibri"/>
                <w:lang w:val="es-PR"/>
              </w:rPr>
              <w:t>62.10%</w:t>
            </w:r>
          </w:p>
        </w:tc>
        <w:tc>
          <w:tcPr>
            <w:tcW w:w="635" w:type="pct"/>
          </w:tcPr>
          <w:p w14:paraId="174C170D" w14:textId="0750B6AB" w:rsidR="15754C6C" w:rsidRDefault="103E80BE" w:rsidP="00891293">
            <w:pPr>
              <w:jc w:val="center"/>
              <w:rPr>
                <w:rFonts w:ascii="Calibri" w:eastAsia="Calibri" w:hAnsi="Calibri" w:cs="Calibri"/>
              </w:rPr>
            </w:pPr>
            <w:r>
              <w:rPr>
                <w:rFonts w:ascii="Calibri" w:eastAsia="Calibri" w:hAnsi="Calibri" w:cs="Calibri"/>
                <w:lang w:val="es-PR"/>
              </w:rPr>
              <w:t>62.30%</w:t>
            </w:r>
          </w:p>
        </w:tc>
        <w:tc>
          <w:tcPr>
            <w:tcW w:w="635" w:type="pct"/>
          </w:tcPr>
          <w:p w14:paraId="71D6B95C" w14:textId="3FC59FF4" w:rsidR="15754C6C" w:rsidRDefault="103E80BE" w:rsidP="00891293">
            <w:pPr>
              <w:jc w:val="center"/>
              <w:rPr>
                <w:rFonts w:ascii="Calibri" w:eastAsia="Calibri" w:hAnsi="Calibri" w:cs="Calibri"/>
              </w:rPr>
            </w:pPr>
            <w:r>
              <w:rPr>
                <w:rFonts w:ascii="Calibri" w:eastAsia="Calibri" w:hAnsi="Calibri" w:cs="Calibri"/>
                <w:lang w:val="es-PR"/>
              </w:rPr>
              <w:t>62.50%</w:t>
            </w:r>
          </w:p>
        </w:tc>
      </w:tr>
    </w:tbl>
    <w:p w14:paraId="3C4D8B57" w14:textId="0B80F8D4" w:rsidR="0BD6362E" w:rsidRPr="000E1C07" w:rsidRDefault="0BD6362E" w:rsidP="00891293">
      <w:pPr>
        <w:spacing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ejemplo B muestra más crecimiento.</w:t>
      </w:r>
    </w:p>
    <w:p w14:paraId="74470600" w14:textId="77777777" w:rsidR="00041319" w:rsidRPr="000E1C07" w:rsidRDefault="60E01432" w:rsidP="00891293">
      <w:pPr>
        <w:spacing w:after="0" w:line="240" w:lineRule="auto"/>
        <w:jc w:val="center"/>
        <w:rPr>
          <w:rFonts w:ascii="Calibri" w:eastAsia="Calibri" w:hAnsi="Calibri" w:cs="Calibri"/>
          <w:b/>
          <w:bCs/>
          <w:color w:val="538135" w:themeColor="accent6" w:themeShade="BF"/>
          <w:lang w:val="es-MX"/>
        </w:rPr>
      </w:pPr>
      <w:r>
        <w:rPr>
          <w:rFonts w:ascii="Calibri" w:eastAsia="Calibri" w:hAnsi="Calibri" w:cs="Calibri"/>
          <w:b/>
          <w:bCs/>
          <w:color w:val="538135" w:themeColor="accent6" w:themeShade="BF"/>
          <w:lang w:val="es-PR"/>
        </w:rPr>
        <w:t>Si necesita más información para proporcionar información, comuníquese con:</w:t>
      </w:r>
    </w:p>
    <w:p w14:paraId="34ECC461" w14:textId="08E92BEE" w:rsidR="15754C6C" w:rsidRDefault="60E01432" w:rsidP="00891293">
      <w:pPr>
        <w:spacing w:after="0" w:line="240" w:lineRule="auto"/>
        <w:jc w:val="center"/>
        <w:rPr>
          <w:rFonts w:ascii="Calibri" w:eastAsia="Calibri" w:hAnsi="Calibri" w:cs="Calibri"/>
          <w:b/>
          <w:bCs/>
        </w:rPr>
      </w:pPr>
      <w:r w:rsidRPr="000E1C07">
        <w:rPr>
          <w:rFonts w:ascii="Calibri" w:eastAsia="Calibri" w:hAnsi="Calibri" w:cs="Calibri"/>
          <w:b/>
          <w:bCs/>
          <w:color w:val="538135" w:themeColor="accent6" w:themeShade="BF"/>
        </w:rPr>
        <w:lastRenderedPageBreak/>
        <w:t xml:space="preserve">Bruce Sheppard en </w:t>
      </w:r>
      <w:hyperlink r:id="rId19">
        <w:r w:rsidRPr="000E1C07">
          <w:rPr>
            <w:rStyle w:val="Hyperlink"/>
            <w:rFonts w:ascii="Calibri" w:eastAsia="Calibri" w:hAnsi="Calibri" w:cs="Calibri"/>
            <w:b/>
            <w:bCs/>
          </w:rPr>
          <w:t>bruce.sheppard@state.or.us</w:t>
        </w:r>
      </w:hyperlink>
      <w:r w:rsidRPr="000E1C07">
        <w:rPr>
          <w:rFonts w:ascii="Calibri" w:eastAsia="Calibri" w:hAnsi="Calibri" w:cs="Calibri"/>
          <w:b/>
          <w:bCs/>
        </w:rPr>
        <w:t>.</w:t>
      </w:r>
    </w:p>
    <w:sectPr w:rsidR="15754C6C" w:rsidSect="00E85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78B0" w14:textId="77777777" w:rsidR="00E83BB7" w:rsidRDefault="00E83BB7" w:rsidP="00A015AF">
      <w:pPr>
        <w:spacing w:after="0" w:line="240" w:lineRule="auto"/>
      </w:pPr>
      <w:r>
        <w:separator/>
      </w:r>
    </w:p>
  </w:endnote>
  <w:endnote w:type="continuationSeparator" w:id="0">
    <w:p w14:paraId="61A1A8D1" w14:textId="77777777" w:rsidR="00E83BB7" w:rsidRDefault="00E83BB7" w:rsidP="00A015AF">
      <w:pPr>
        <w:spacing w:after="0" w:line="240" w:lineRule="auto"/>
      </w:pPr>
      <w:r>
        <w:continuationSeparator/>
      </w:r>
    </w:p>
  </w:endnote>
  <w:endnote w:type="continuationNotice" w:id="1">
    <w:p w14:paraId="62D46921" w14:textId="77777777" w:rsidR="00E83BB7" w:rsidRDefault="00E83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1EC8" w14:textId="77777777" w:rsidR="00E83BB7" w:rsidRDefault="00E83BB7" w:rsidP="00A015AF">
      <w:pPr>
        <w:spacing w:after="0" w:line="240" w:lineRule="auto"/>
      </w:pPr>
      <w:r>
        <w:separator/>
      </w:r>
    </w:p>
  </w:footnote>
  <w:footnote w:type="continuationSeparator" w:id="0">
    <w:p w14:paraId="6937B1C0" w14:textId="77777777" w:rsidR="00E83BB7" w:rsidRDefault="00E83BB7" w:rsidP="00A015AF">
      <w:pPr>
        <w:spacing w:after="0" w:line="240" w:lineRule="auto"/>
      </w:pPr>
      <w:r>
        <w:continuationSeparator/>
      </w:r>
    </w:p>
  </w:footnote>
  <w:footnote w:type="continuationNotice" w:id="1">
    <w:p w14:paraId="7342ABFF" w14:textId="77777777" w:rsidR="00E83BB7" w:rsidRDefault="00E83B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cs="Times New Roman"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cs="Times New Roman"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cs="Times New Roman"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31813C0"/>
    <w:multiLevelType w:val="hybridMultilevel"/>
    <w:tmpl w:val="BB3C89A6"/>
    <w:lvl w:ilvl="0" w:tplc="1DF6D22E">
      <w:start w:val="1"/>
      <w:numFmt w:val="bullet"/>
      <w:lvlText w:val=""/>
      <w:lvlJc w:val="left"/>
      <w:pPr>
        <w:ind w:left="720" w:hanging="360"/>
      </w:pPr>
      <w:rPr>
        <w:rFonts w:ascii="Symbol" w:hAnsi="Symbol" w:hint="default"/>
      </w:rPr>
    </w:lvl>
    <w:lvl w:ilvl="1" w:tplc="E36C363C">
      <w:start w:val="1"/>
      <w:numFmt w:val="bullet"/>
      <w:lvlText w:val="o"/>
      <w:lvlJc w:val="left"/>
      <w:pPr>
        <w:ind w:left="1440" w:hanging="360"/>
      </w:pPr>
      <w:rPr>
        <w:rFonts w:ascii="Courier New" w:hAnsi="Courier New" w:hint="default"/>
      </w:rPr>
    </w:lvl>
    <w:lvl w:ilvl="2" w:tplc="13E805D0">
      <w:start w:val="1"/>
      <w:numFmt w:val="bullet"/>
      <w:lvlText w:val=""/>
      <w:lvlJc w:val="left"/>
      <w:pPr>
        <w:ind w:left="2160" w:hanging="360"/>
      </w:pPr>
      <w:rPr>
        <w:rFonts w:ascii="Wingdings" w:hAnsi="Wingdings" w:hint="default"/>
      </w:rPr>
    </w:lvl>
    <w:lvl w:ilvl="3" w:tplc="4E3247D0">
      <w:start w:val="1"/>
      <w:numFmt w:val="bullet"/>
      <w:lvlText w:val=""/>
      <w:lvlJc w:val="left"/>
      <w:pPr>
        <w:ind w:left="2880" w:hanging="360"/>
      </w:pPr>
      <w:rPr>
        <w:rFonts w:ascii="Symbol" w:hAnsi="Symbol" w:hint="default"/>
      </w:rPr>
    </w:lvl>
    <w:lvl w:ilvl="4" w:tplc="7ECE41A4">
      <w:start w:val="1"/>
      <w:numFmt w:val="bullet"/>
      <w:lvlText w:val="o"/>
      <w:lvlJc w:val="left"/>
      <w:pPr>
        <w:ind w:left="3600" w:hanging="360"/>
      </w:pPr>
      <w:rPr>
        <w:rFonts w:ascii="Courier New" w:hAnsi="Courier New" w:hint="default"/>
      </w:rPr>
    </w:lvl>
    <w:lvl w:ilvl="5" w:tplc="A5065BFC">
      <w:start w:val="1"/>
      <w:numFmt w:val="bullet"/>
      <w:lvlText w:val=""/>
      <w:lvlJc w:val="left"/>
      <w:pPr>
        <w:ind w:left="4320" w:hanging="360"/>
      </w:pPr>
      <w:rPr>
        <w:rFonts w:ascii="Wingdings" w:hAnsi="Wingdings" w:hint="default"/>
      </w:rPr>
    </w:lvl>
    <w:lvl w:ilvl="6" w:tplc="44143DAE">
      <w:start w:val="1"/>
      <w:numFmt w:val="bullet"/>
      <w:lvlText w:val=""/>
      <w:lvlJc w:val="left"/>
      <w:pPr>
        <w:ind w:left="5040" w:hanging="360"/>
      </w:pPr>
      <w:rPr>
        <w:rFonts w:ascii="Symbol" w:hAnsi="Symbol" w:hint="default"/>
      </w:rPr>
    </w:lvl>
    <w:lvl w:ilvl="7" w:tplc="CDF81B22">
      <w:start w:val="1"/>
      <w:numFmt w:val="bullet"/>
      <w:lvlText w:val="o"/>
      <w:lvlJc w:val="left"/>
      <w:pPr>
        <w:ind w:left="5760" w:hanging="360"/>
      </w:pPr>
      <w:rPr>
        <w:rFonts w:ascii="Courier New" w:hAnsi="Courier New" w:hint="default"/>
      </w:rPr>
    </w:lvl>
    <w:lvl w:ilvl="8" w:tplc="4D96004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75C17"/>
    <w:multiLevelType w:val="hybridMultilevel"/>
    <w:tmpl w:val="36724684"/>
    <w:lvl w:ilvl="0" w:tplc="987E9BD0">
      <w:start w:val="1"/>
      <w:numFmt w:val="bullet"/>
      <w:lvlText w:val=""/>
      <w:lvlJc w:val="left"/>
      <w:pPr>
        <w:ind w:left="720" w:hanging="360"/>
      </w:pPr>
      <w:rPr>
        <w:rFonts w:ascii="Symbol" w:hAnsi="Symbol" w:hint="default"/>
      </w:rPr>
    </w:lvl>
    <w:lvl w:ilvl="1" w:tplc="0C34707C">
      <w:start w:val="1"/>
      <w:numFmt w:val="bullet"/>
      <w:lvlText w:val="o"/>
      <w:lvlJc w:val="left"/>
      <w:pPr>
        <w:ind w:left="1440" w:hanging="360"/>
      </w:pPr>
      <w:rPr>
        <w:rFonts w:ascii="Courier New" w:hAnsi="Courier New" w:hint="default"/>
      </w:rPr>
    </w:lvl>
    <w:lvl w:ilvl="2" w:tplc="D638BE88">
      <w:start w:val="1"/>
      <w:numFmt w:val="bullet"/>
      <w:lvlText w:val=""/>
      <w:lvlJc w:val="left"/>
      <w:pPr>
        <w:ind w:left="2160" w:hanging="360"/>
      </w:pPr>
      <w:rPr>
        <w:rFonts w:ascii="Wingdings" w:hAnsi="Wingdings" w:hint="default"/>
      </w:rPr>
    </w:lvl>
    <w:lvl w:ilvl="3" w:tplc="1B3C55A6">
      <w:start w:val="1"/>
      <w:numFmt w:val="bullet"/>
      <w:lvlText w:val=""/>
      <w:lvlJc w:val="left"/>
      <w:pPr>
        <w:ind w:left="2880" w:hanging="360"/>
      </w:pPr>
      <w:rPr>
        <w:rFonts w:ascii="Symbol" w:hAnsi="Symbol" w:hint="default"/>
      </w:rPr>
    </w:lvl>
    <w:lvl w:ilvl="4" w:tplc="5BCC361C">
      <w:start w:val="1"/>
      <w:numFmt w:val="bullet"/>
      <w:lvlText w:val="o"/>
      <w:lvlJc w:val="left"/>
      <w:pPr>
        <w:ind w:left="3600" w:hanging="360"/>
      </w:pPr>
      <w:rPr>
        <w:rFonts w:ascii="Courier New" w:hAnsi="Courier New" w:hint="default"/>
      </w:rPr>
    </w:lvl>
    <w:lvl w:ilvl="5" w:tplc="616C03F0">
      <w:start w:val="1"/>
      <w:numFmt w:val="bullet"/>
      <w:lvlText w:val=""/>
      <w:lvlJc w:val="left"/>
      <w:pPr>
        <w:ind w:left="4320" w:hanging="360"/>
      </w:pPr>
      <w:rPr>
        <w:rFonts w:ascii="Wingdings" w:hAnsi="Wingdings" w:hint="default"/>
      </w:rPr>
    </w:lvl>
    <w:lvl w:ilvl="6" w:tplc="7C483BBA">
      <w:start w:val="1"/>
      <w:numFmt w:val="bullet"/>
      <w:lvlText w:val=""/>
      <w:lvlJc w:val="left"/>
      <w:pPr>
        <w:ind w:left="5040" w:hanging="360"/>
      </w:pPr>
      <w:rPr>
        <w:rFonts w:ascii="Symbol" w:hAnsi="Symbol" w:hint="default"/>
      </w:rPr>
    </w:lvl>
    <w:lvl w:ilvl="7" w:tplc="B1AA69A4">
      <w:start w:val="1"/>
      <w:numFmt w:val="bullet"/>
      <w:lvlText w:val="o"/>
      <w:lvlJc w:val="left"/>
      <w:pPr>
        <w:ind w:left="5760" w:hanging="360"/>
      </w:pPr>
      <w:rPr>
        <w:rFonts w:ascii="Courier New" w:hAnsi="Courier New" w:hint="default"/>
      </w:rPr>
    </w:lvl>
    <w:lvl w:ilvl="8" w:tplc="2ACE6A3A">
      <w:start w:val="1"/>
      <w:numFmt w:val="bullet"/>
      <w:lvlText w:val=""/>
      <w:lvlJc w:val="left"/>
      <w:pPr>
        <w:ind w:left="6480" w:hanging="360"/>
      </w:pPr>
      <w:rPr>
        <w:rFonts w:ascii="Wingdings" w:hAnsi="Wingdings" w:hint="default"/>
      </w:r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0"/>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1F98"/>
    <w:rsid w:val="000229A8"/>
    <w:rsid w:val="0003646E"/>
    <w:rsid w:val="00041319"/>
    <w:rsid w:val="00057550"/>
    <w:rsid w:val="000771E0"/>
    <w:rsid w:val="00082930"/>
    <w:rsid w:val="000B0724"/>
    <w:rsid w:val="000B7B51"/>
    <w:rsid w:val="000E1C07"/>
    <w:rsid w:val="000E3321"/>
    <w:rsid w:val="000E446A"/>
    <w:rsid w:val="000E4FA0"/>
    <w:rsid w:val="000F2CEB"/>
    <w:rsid w:val="000F4459"/>
    <w:rsid w:val="00103F34"/>
    <w:rsid w:val="00124274"/>
    <w:rsid w:val="001500B8"/>
    <w:rsid w:val="00151057"/>
    <w:rsid w:val="001B1F13"/>
    <w:rsid w:val="001B52CA"/>
    <w:rsid w:val="001C031B"/>
    <w:rsid w:val="001F49DD"/>
    <w:rsid w:val="002330DF"/>
    <w:rsid w:val="0023458C"/>
    <w:rsid w:val="00251241"/>
    <w:rsid w:val="0026797A"/>
    <w:rsid w:val="0027587A"/>
    <w:rsid w:val="00293819"/>
    <w:rsid w:val="00293CAB"/>
    <w:rsid w:val="002A100A"/>
    <w:rsid w:val="002B268E"/>
    <w:rsid w:val="002C5FD8"/>
    <w:rsid w:val="002D66CC"/>
    <w:rsid w:val="002F003B"/>
    <w:rsid w:val="00300812"/>
    <w:rsid w:val="00300F93"/>
    <w:rsid w:val="00316E35"/>
    <w:rsid w:val="00327EB0"/>
    <w:rsid w:val="00356BE5"/>
    <w:rsid w:val="00373050"/>
    <w:rsid w:val="003E302B"/>
    <w:rsid w:val="00417559"/>
    <w:rsid w:val="004332D0"/>
    <w:rsid w:val="00434A4B"/>
    <w:rsid w:val="004546E0"/>
    <w:rsid w:val="004634C1"/>
    <w:rsid w:val="00472F13"/>
    <w:rsid w:val="00496DD9"/>
    <w:rsid w:val="004B3A12"/>
    <w:rsid w:val="00506FC3"/>
    <w:rsid w:val="00551272"/>
    <w:rsid w:val="005B50E3"/>
    <w:rsid w:val="005D6523"/>
    <w:rsid w:val="005F2E24"/>
    <w:rsid w:val="00614B0D"/>
    <w:rsid w:val="00621EAC"/>
    <w:rsid w:val="006231FB"/>
    <w:rsid w:val="006279FC"/>
    <w:rsid w:val="0066003C"/>
    <w:rsid w:val="00664935"/>
    <w:rsid w:val="00664F90"/>
    <w:rsid w:val="00665A1E"/>
    <w:rsid w:val="00686AA4"/>
    <w:rsid w:val="00696549"/>
    <w:rsid w:val="006B3525"/>
    <w:rsid w:val="006C7344"/>
    <w:rsid w:val="00770DA0"/>
    <w:rsid w:val="007911BE"/>
    <w:rsid w:val="007F7D05"/>
    <w:rsid w:val="00800077"/>
    <w:rsid w:val="00814085"/>
    <w:rsid w:val="00851819"/>
    <w:rsid w:val="008707C4"/>
    <w:rsid w:val="00872B58"/>
    <w:rsid w:val="00872BA4"/>
    <w:rsid w:val="00873D62"/>
    <w:rsid w:val="0087580F"/>
    <w:rsid w:val="00891293"/>
    <w:rsid w:val="00891521"/>
    <w:rsid w:val="008A4231"/>
    <w:rsid w:val="008C5DD2"/>
    <w:rsid w:val="008F0D97"/>
    <w:rsid w:val="0092561F"/>
    <w:rsid w:val="009346B8"/>
    <w:rsid w:val="00954BDA"/>
    <w:rsid w:val="00963CE4"/>
    <w:rsid w:val="0096520A"/>
    <w:rsid w:val="00976EA9"/>
    <w:rsid w:val="00980D00"/>
    <w:rsid w:val="00992029"/>
    <w:rsid w:val="009A23AC"/>
    <w:rsid w:val="009C00DB"/>
    <w:rsid w:val="009C5702"/>
    <w:rsid w:val="009C74C1"/>
    <w:rsid w:val="009E1242"/>
    <w:rsid w:val="009E373C"/>
    <w:rsid w:val="00A015AF"/>
    <w:rsid w:val="00A02945"/>
    <w:rsid w:val="00A106D4"/>
    <w:rsid w:val="00A42905"/>
    <w:rsid w:val="00A47CF8"/>
    <w:rsid w:val="00A83936"/>
    <w:rsid w:val="00AD1A06"/>
    <w:rsid w:val="00AD2B4F"/>
    <w:rsid w:val="00AD794D"/>
    <w:rsid w:val="00B224C7"/>
    <w:rsid w:val="00B464F8"/>
    <w:rsid w:val="00B51C91"/>
    <w:rsid w:val="00B542E4"/>
    <w:rsid w:val="00B65DAE"/>
    <w:rsid w:val="00B77D28"/>
    <w:rsid w:val="00B816A3"/>
    <w:rsid w:val="00B87EF5"/>
    <w:rsid w:val="00B9167F"/>
    <w:rsid w:val="00B9792E"/>
    <w:rsid w:val="00BA6D77"/>
    <w:rsid w:val="00BB0B34"/>
    <w:rsid w:val="00BB6090"/>
    <w:rsid w:val="00BE141A"/>
    <w:rsid w:val="00C06C4E"/>
    <w:rsid w:val="00C41661"/>
    <w:rsid w:val="00C43BD2"/>
    <w:rsid w:val="00C53B82"/>
    <w:rsid w:val="00C710C8"/>
    <w:rsid w:val="00CA3BE5"/>
    <w:rsid w:val="00CD2C98"/>
    <w:rsid w:val="00CD778C"/>
    <w:rsid w:val="00D330A6"/>
    <w:rsid w:val="00D54286"/>
    <w:rsid w:val="00DB37A5"/>
    <w:rsid w:val="00DC5156"/>
    <w:rsid w:val="00DD3AEB"/>
    <w:rsid w:val="00E34483"/>
    <w:rsid w:val="00E441BE"/>
    <w:rsid w:val="00E53299"/>
    <w:rsid w:val="00E75C68"/>
    <w:rsid w:val="00E83BB7"/>
    <w:rsid w:val="00E85C73"/>
    <w:rsid w:val="00EC75DD"/>
    <w:rsid w:val="00F36128"/>
    <w:rsid w:val="00F6074C"/>
    <w:rsid w:val="00FA236C"/>
    <w:rsid w:val="00FA7DAE"/>
    <w:rsid w:val="00FB5DC0"/>
    <w:rsid w:val="00FB6E2B"/>
    <w:rsid w:val="00FC0AA2"/>
    <w:rsid w:val="01BC8D4E"/>
    <w:rsid w:val="024AA183"/>
    <w:rsid w:val="024D6C77"/>
    <w:rsid w:val="0275D76D"/>
    <w:rsid w:val="02F1580B"/>
    <w:rsid w:val="04FF0A14"/>
    <w:rsid w:val="0501F36D"/>
    <w:rsid w:val="0542D213"/>
    <w:rsid w:val="0688B4AB"/>
    <w:rsid w:val="06F6D133"/>
    <w:rsid w:val="076D8D7F"/>
    <w:rsid w:val="07C26AAC"/>
    <w:rsid w:val="09335D90"/>
    <w:rsid w:val="0A003D7F"/>
    <w:rsid w:val="0A6033E8"/>
    <w:rsid w:val="0B6D5478"/>
    <w:rsid w:val="0B773283"/>
    <w:rsid w:val="0B8E293D"/>
    <w:rsid w:val="0BD6362E"/>
    <w:rsid w:val="0C9C5911"/>
    <w:rsid w:val="0CD70CBB"/>
    <w:rsid w:val="0CEBCEE8"/>
    <w:rsid w:val="0D8F53DD"/>
    <w:rsid w:val="0DEADF42"/>
    <w:rsid w:val="0E73A19A"/>
    <w:rsid w:val="0ECBA6C1"/>
    <w:rsid w:val="0EEEF9C7"/>
    <w:rsid w:val="0F528EAE"/>
    <w:rsid w:val="103E80BE"/>
    <w:rsid w:val="118102CB"/>
    <w:rsid w:val="11FF80E2"/>
    <w:rsid w:val="125A0AF6"/>
    <w:rsid w:val="127C7152"/>
    <w:rsid w:val="1304DF78"/>
    <w:rsid w:val="13E63176"/>
    <w:rsid w:val="140AA049"/>
    <w:rsid w:val="1432E82A"/>
    <w:rsid w:val="1561CAD9"/>
    <w:rsid w:val="15754C6C"/>
    <w:rsid w:val="15AAEBF8"/>
    <w:rsid w:val="15CEB88B"/>
    <w:rsid w:val="162F1E1A"/>
    <w:rsid w:val="167D8125"/>
    <w:rsid w:val="169498DA"/>
    <w:rsid w:val="172C5093"/>
    <w:rsid w:val="17B18714"/>
    <w:rsid w:val="19781339"/>
    <w:rsid w:val="1A2F9532"/>
    <w:rsid w:val="1A651CDB"/>
    <w:rsid w:val="1A8B4871"/>
    <w:rsid w:val="1C188B18"/>
    <w:rsid w:val="1C4389B5"/>
    <w:rsid w:val="1CECF624"/>
    <w:rsid w:val="1D6BF548"/>
    <w:rsid w:val="1DBE16AC"/>
    <w:rsid w:val="1E2A045C"/>
    <w:rsid w:val="20CA789B"/>
    <w:rsid w:val="20D45E5F"/>
    <w:rsid w:val="20E5FEA6"/>
    <w:rsid w:val="213183FB"/>
    <w:rsid w:val="21966300"/>
    <w:rsid w:val="21C033CC"/>
    <w:rsid w:val="236167AF"/>
    <w:rsid w:val="2385393A"/>
    <w:rsid w:val="23F2D6C4"/>
    <w:rsid w:val="245A08AF"/>
    <w:rsid w:val="248AD876"/>
    <w:rsid w:val="24B85555"/>
    <w:rsid w:val="25034C54"/>
    <w:rsid w:val="25D26F24"/>
    <w:rsid w:val="25ECC9DB"/>
    <w:rsid w:val="2822FAC6"/>
    <w:rsid w:val="2949D22A"/>
    <w:rsid w:val="2A0376B5"/>
    <w:rsid w:val="2B16A432"/>
    <w:rsid w:val="2D4BA50B"/>
    <w:rsid w:val="2F611A2E"/>
    <w:rsid w:val="31C3F139"/>
    <w:rsid w:val="31DE451C"/>
    <w:rsid w:val="321E8029"/>
    <w:rsid w:val="328E971D"/>
    <w:rsid w:val="32B1B4D3"/>
    <w:rsid w:val="32B651B2"/>
    <w:rsid w:val="34FCBD81"/>
    <w:rsid w:val="360AD531"/>
    <w:rsid w:val="36342B94"/>
    <w:rsid w:val="373EEA53"/>
    <w:rsid w:val="3750B7C9"/>
    <w:rsid w:val="38171751"/>
    <w:rsid w:val="3A6E54E6"/>
    <w:rsid w:val="3AC16793"/>
    <w:rsid w:val="3B678DCF"/>
    <w:rsid w:val="3BBBA130"/>
    <w:rsid w:val="3CA2A6B1"/>
    <w:rsid w:val="3E23F1B6"/>
    <w:rsid w:val="3E64F3E0"/>
    <w:rsid w:val="3E72BFEF"/>
    <w:rsid w:val="3EA8BBDF"/>
    <w:rsid w:val="3EBCC824"/>
    <w:rsid w:val="401F9EFE"/>
    <w:rsid w:val="403F7028"/>
    <w:rsid w:val="408D246D"/>
    <w:rsid w:val="412B4595"/>
    <w:rsid w:val="428E0291"/>
    <w:rsid w:val="433DFD85"/>
    <w:rsid w:val="43D47637"/>
    <w:rsid w:val="471B5992"/>
    <w:rsid w:val="473B81AE"/>
    <w:rsid w:val="476173B4"/>
    <w:rsid w:val="48486799"/>
    <w:rsid w:val="48818C46"/>
    <w:rsid w:val="48A21769"/>
    <w:rsid w:val="48FAB91A"/>
    <w:rsid w:val="49D6A4E7"/>
    <w:rsid w:val="4A9B697A"/>
    <w:rsid w:val="4AB436B7"/>
    <w:rsid w:val="4AB86F41"/>
    <w:rsid w:val="4BBE4006"/>
    <w:rsid w:val="4BCAE167"/>
    <w:rsid w:val="4D9EA259"/>
    <w:rsid w:val="4DA984EF"/>
    <w:rsid w:val="4DC759FD"/>
    <w:rsid w:val="4E11EB63"/>
    <w:rsid w:val="4EC08513"/>
    <w:rsid w:val="4FD95880"/>
    <w:rsid w:val="51478E7B"/>
    <w:rsid w:val="52BF22C0"/>
    <w:rsid w:val="52E52746"/>
    <w:rsid w:val="53BB973E"/>
    <w:rsid w:val="54613731"/>
    <w:rsid w:val="5480F7A7"/>
    <w:rsid w:val="55675337"/>
    <w:rsid w:val="56277CA2"/>
    <w:rsid w:val="56F4D89A"/>
    <w:rsid w:val="57FA87C5"/>
    <w:rsid w:val="5865ACB0"/>
    <w:rsid w:val="58946559"/>
    <w:rsid w:val="5926CEA7"/>
    <w:rsid w:val="59405C85"/>
    <w:rsid w:val="5954A417"/>
    <w:rsid w:val="5965F197"/>
    <w:rsid w:val="5ADC2CE6"/>
    <w:rsid w:val="5BB66BB1"/>
    <w:rsid w:val="5D67D67C"/>
    <w:rsid w:val="5DE29632"/>
    <w:rsid w:val="5E4C9A5B"/>
    <w:rsid w:val="5F1BD220"/>
    <w:rsid w:val="5F3139D1"/>
    <w:rsid w:val="6002AB7F"/>
    <w:rsid w:val="6010CC80"/>
    <w:rsid w:val="60E01432"/>
    <w:rsid w:val="6118E1F9"/>
    <w:rsid w:val="6118FA81"/>
    <w:rsid w:val="62C3CB29"/>
    <w:rsid w:val="62FB6568"/>
    <w:rsid w:val="6315A32B"/>
    <w:rsid w:val="64079424"/>
    <w:rsid w:val="6444DFAF"/>
    <w:rsid w:val="6551DB58"/>
    <w:rsid w:val="6571B607"/>
    <w:rsid w:val="65943897"/>
    <w:rsid w:val="65DFD2A5"/>
    <w:rsid w:val="65E9D2E5"/>
    <w:rsid w:val="65EC2952"/>
    <w:rsid w:val="66C7BCDE"/>
    <w:rsid w:val="66CA6737"/>
    <w:rsid w:val="66FF6233"/>
    <w:rsid w:val="672FC8AB"/>
    <w:rsid w:val="67964785"/>
    <w:rsid w:val="67A7E7A3"/>
    <w:rsid w:val="67E90F15"/>
    <w:rsid w:val="68430429"/>
    <w:rsid w:val="69229FB3"/>
    <w:rsid w:val="69402960"/>
    <w:rsid w:val="69679213"/>
    <w:rsid w:val="6B070A78"/>
    <w:rsid w:val="6B5ECC4A"/>
    <w:rsid w:val="6CBDC2CC"/>
    <w:rsid w:val="6CD8788B"/>
    <w:rsid w:val="6CE2FAD4"/>
    <w:rsid w:val="6D1B4991"/>
    <w:rsid w:val="6DBD3A3D"/>
    <w:rsid w:val="6E34F392"/>
    <w:rsid w:val="70622CEC"/>
    <w:rsid w:val="7092273C"/>
    <w:rsid w:val="712EECA8"/>
    <w:rsid w:val="71695A3B"/>
    <w:rsid w:val="7259CB58"/>
    <w:rsid w:val="73B2F60B"/>
    <w:rsid w:val="763AD132"/>
    <w:rsid w:val="77B889DE"/>
    <w:rsid w:val="77C1CD47"/>
    <w:rsid w:val="7854544F"/>
    <w:rsid w:val="786AC944"/>
    <w:rsid w:val="78C79D59"/>
    <w:rsid w:val="79EF75C9"/>
    <w:rsid w:val="7AA70079"/>
    <w:rsid w:val="7AEDFBEC"/>
    <w:rsid w:val="7D5128D7"/>
    <w:rsid w:val="7D64F1FD"/>
    <w:rsid w:val="7D7C76F4"/>
    <w:rsid w:val="7DF0AAE8"/>
    <w:rsid w:val="7E559049"/>
    <w:rsid w:val="7E797721"/>
    <w:rsid w:val="7EECB8EB"/>
    <w:rsid w:val="7F058B3D"/>
    <w:rsid w:val="7F1E72DD"/>
    <w:rsid w:val="7F204854"/>
    <w:rsid w:val="7FF1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NoSpacing">
    <w:name w:val="No Spacing"/>
    <w:uiPriority w:val="1"/>
    <w:qFormat/>
    <w:rsid w:val="006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670">
      <w:bodyDiv w:val="1"/>
      <w:marLeft w:val="0"/>
      <w:marRight w:val="0"/>
      <w:marTop w:val="0"/>
      <w:marBottom w:val="0"/>
      <w:divBdr>
        <w:top w:val="none" w:sz="0" w:space="0" w:color="auto"/>
        <w:left w:val="none" w:sz="0" w:space="0" w:color="auto"/>
        <w:bottom w:val="none" w:sz="0" w:space="0" w:color="auto"/>
        <w:right w:val="none" w:sz="0" w:space="0" w:color="auto"/>
      </w:divBdr>
    </w:div>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445009105">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 w:id="19563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1352b22953ab452ba076f6cded83cc36"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mailto:bruce.sheppard@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000" b="1" i="0" u="none" baseline="0">
                <a:solidFill>
                  <a:srgbClr val="1B75BC"/>
                </a:solidFill>
              </a:rPr>
              <a:t>Datos del indicador B7 de Oregon (resultados preescolares)</a:t>
            </a:r>
          </a:p>
          <a:p>
            <a:pPr rtl="0">
              <a:defRPr/>
            </a:pPr>
            <a:r>
              <a:rPr lang="es-pr" sz="600" b="0" i="0" u="none" baseline="0">
                <a:solidFill>
                  <a:srgbClr val="1B75BC"/>
                </a:solidFill>
              </a:rPr>
              <a:t>Porcentaje de niños en edad preescolar que aumentaron sustancialmente sus habilidades socioemocionales positivas (incluidas las relaciones sociales)</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B7A1!$A$2</c:f>
              <c:strCache>
                <c:ptCount val="1"/>
                <c:pt idx="0">
                  <c:v>Data</c:v>
                </c:pt>
              </c:strCache>
            </c:strRef>
          </c:tx>
          <c:spPr>
            <a:ln w="28575" cap="rnd">
              <a:solidFill>
                <a:srgbClr val="1B75BC"/>
              </a:solidFill>
              <a:round/>
            </a:ln>
            <a:effectLst/>
          </c:spPr>
          <c:marker>
            <c:symbol val="none"/>
          </c:marker>
          <c:dLbls>
            <c:dLbl>
              <c:idx val="0"/>
              <c:layout>
                <c:manualLayout>
                  <c:x val="-4.6479546839114906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1E8D-45E4-81A8-1990D7571FB1}"/>
                </c:ext>
              </c:extLst>
            </c:dLbl>
            <c:dLbl>
              <c:idx val="2"/>
              <c:layout>
                <c:manualLayout>
                  <c:x val="-9.5571161712893996E-2"/>
                  <c:y val="-5.9452880889888766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1E8D-45E4-81A8-1990D7571FB1}"/>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B7A1!$B$2:$G$2</c:f>
              <c:numCache>
                <c:formatCode>0.00%</c:formatCode>
                <c:ptCount val="6"/>
                <c:pt idx="0">
                  <c:v>0.73960000000000004</c:v>
                </c:pt>
                <c:pt idx="1">
                  <c:v>0.75619999999999998</c:v>
                </c:pt>
                <c:pt idx="2">
                  <c:v>0.76170000000000004</c:v>
                </c:pt>
                <c:pt idx="3">
                  <c:v>0.79610000000000003</c:v>
                </c:pt>
                <c:pt idx="4">
                  <c:v>0.77900000000000003</c:v>
                </c:pt>
                <c:pt idx="5">
                  <c:v>0.77100000000000002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1E8D-45E4-81A8-1990D7571FB1}"/>
            </c:ext>
          </c:extLst>
        </c:ser>
        <c:ser>
          <c:idx val="1"/>
          <c:order val="1"/>
          <c:tx>
            <c:strRef>
              <c:f>B7A1!$A$3</c:f>
              <c:strCache>
                <c:ptCount val="1"/>
                <c:pt idx="0">
                  <c:v>Target &gt;=</c:v>
                </c:pt>
              </c:strCache>
            </c:strRef>
          </c:tx>
          <c:spPr>
            <a:ln w="28575" cap="rnd">
              <a:solidFill>
                <a:srgbClr val="408740"/>
              </a:solidFill>
              <a:round/>
            </a:ln>
            <a:effectLst/>
          </c:spPr>
          <c:marker>
            <c:symbol val="none"/>
          </c:marker>
          <c:dLbls>
            <c:dLbl>
              <c:idx val="1"/>
              <c:layout>
                <c:manualLayout>
                  <c:x val="-4.4456279584309387E-2"/>
                  <c:y val="3.648823148736251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1E8D-45E4-81A8-1990D7571FB1}"/>
                </c:ext>
              </c:extLst>
            </c:dLbl>
            <c:dLbl>
              <c:idx val="2"/>
              <c:layout>
                <c:manualLayout>
                  <c:x val="-4.4456279584309387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1E8D-45E4-81A8-1990D7571FB1}"/>
                </c:ext>
              </c:extLst>
            </c:dLbl>
            <c:dLbl>
              <c:idx val="3"/>
              <c:layout>
                <c:manualLayout>
                  <c:x val="-4.6479546839114885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1E8D-45E4-81A8-1990D7571FB1}"/>
                </c:ext>
              </c:extLst>
            </c:dLbl>
            <c:dLbl>
              <c:idx val="4"/>
              <c:layout>
                <c:manualLayout>
                  <c:x val="-4.8502814093920384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1E8D-45E4-81A8-1990D7571FB1}"/>
                </c:ext>
              </c:extLst>
            </c:dLbl>
            <c:dLbl>
              <c:idx val="5"/>
              <c:layout>
                <c:manualLayout>
                  <c:x val="-5.4572615858336879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1E8D-45E4-81A8-1990D7571F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B7A1!$B$3:$G$3</c:f>
              <c:numCache>
                <c:formatCode>0.00%</c:formatCode>
                <c:ptCount val="6"/>
                <c:pt idx="0">
                  <c:v>0.748</c:v>
                </c:pt>
                <c:pt idx="1">
                  <c:v>0.75</c:v>
                </c:pt>
                <c:pt idx="2">
                  <c:v>0.76100000000000001</c:v>
                </c:pt>
                <c:pt idx="3">
                  <c:v>0.76100000000000001</c:v>
                </c:pt>
                <c:pt idx="4">
                  <c:v>0.76100000000000001</c:v>
                </c:pt>
                <c:pt idx="5">
                  <c:v>0.76100000000000001</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8-1E8D-45E4-81A8-1990D7571FB1}"/>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000" b="1" i="0" u="none" baseline="0">
                <a:solidFill>
                  <a:srgbClr val="1B75BC"/>
                </a:solidFill>
              </a:rPr>
              <a:t>Datos del indicador B7 de Oregon (resultados preescolares)</a:t>
            </a:r>
          </a:p>
          <a:p>
            <a:pPr rtl="0">
              <a:defRPr/>
            </a:pPr>
            <a:r>
              <a:rPr lang="es-pr" sz="600" b="0" i="0" u="none" baseline="0">
                <a:solidFill>
                  <a:srgbClr val="1B75BC"/>
                </a:solidFill>
              </a:rPr>
              <a:t>Porcentaje de niños en edad preescolar que se desempeñaban dentro de las expectativas de edad para habilidades socioemocionales positivas (incluidas las relaciones sociales)</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3AD2-458C-8EE5-7445BC5E8AA6}"/>
                </c:ext>
              </c:extLst>
            </c:dLbl>
            <c:dLbl>
              <c:idx val="2"/>
              <c:layout>
                <c:manualLayout>
                  <c:x val="-4.3577829798302242E-2"/>
                  <c:y val="4.759561304836891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3AD2-458C-8EE5-7445BC5E8AA6}"/>
                </c:ext>
              </c:extLst>
            </c:dLbl>
            <c:dLbl>
              <c:idx val="3"/>
              <c:layout>
                <c:manualLayout>
                  <c:x val="-8.2479428247144854E-2"/>
                  <c:y val="-2.576396700412448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3AD2-458C-8EE5-7445BC5E8AA6}"/>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B7A2!$B$1:$G$1</c:f>
              <c:numCache>
                <c:formatCode>General</c:formatCode>
                <c:ptCount val="6"/>
                <c:pt idx="0">
                  <c:v>2014</c:v>
                </c:pt>
                <c:pt idx="1">
                  <c:v>2015</c:v>
                </c:pt>
                <c:pt idx="2">
                  <c:v>2016</c:v>
                </c:pt>
                <c:pt idx="3">
                  <c:v>2017</c:v>
                </c:pt>
                <c:pt idx="4">
                  <c:v>2018</c:v>
                </c:pt>
                <c:pt idx="5">
                  <c:v>2019</c:v>
                </c:pt>
              </c:numCache>
            </c:numRef>
          </c:cat>
          <c:val>
            <c:numRef>
              <c:f>B7A2!$B$2:$G$2</c:f>
              <c:numCache>
                <c:formatCode>0.00%</c:formatCode>
                <c:ptCount val="6"/>
                <c:pt idx="0">
                  <c:v>0.2979</c:v>
                </c:pt>
                <c:pt idx="1">
                  <c:v>0.60199999999999998</c:v>
                </c:pt>
                <c:pt idx="2">
                  <c:v>0.58530000000000004</c:v>
                </c:pt>
                <c:pt idx="3">
                  <c:v>0.56210000000000004</c:v>
                </c:pt>
                <c:pt idx="4">
                  <c:v>0.54690000000000005</c:v>
                </c:pt>
                <c:pt idx="5">
                  <c:v>0.5212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3AD2-458C-8EE5-7445BC5E8AA6}"/>
            </c:ext>
          </c:extLst>
        </c:ser>
        <c:ser>
          <c:idx val="1"/>
          <c:order val="1"/>
          <c:tx>
            <c:strRef>
              <c:f>B7A2!$A$3</c:f>
              <c:strCache>
                <c:ptCount val="1"/>
                <c:pt idx="0">
                  <c:v>Target &gt;=</c:v>
                </c:pt>
              </c:strCache>
            </c:strRef>
          </c:tx>
          <c:spPr>
            <a:ln w="28575" cap="rnd">
              <a:solidFill>
                <a:srgbClr val="408740"/>
              </a:solidFill>
              <a:round/>
            </a:ln>
            <a:effectLst/>
          </c:spPr>
          <c:marker>
            <c:symbol val="none"/>
          </c:marker>
          <c:dLbls>
            <c:dLbl>
              <c:idx val="0"/>
              <c:layout>
                <c:manualLayout>
                  <c:x val="-9.0672365278664527E-2"/>
                  <c:y val="-9.2015373078365201E-2"/>
                </c:manualLayout>
              </c:layout>
              <c:tx>
                <c:rich>
                  <a:bodyPr/>
                  <a:lstStyle/>
                  <a:p>
                    <a:fld id="{533F007C-164A-4277-941A-A18F5D3F1DDB}" type="VALUE">
                      <a:rPr lang="en-US" sz="800"/>
                      <a:pPr/>
                      <a:t>[VALUE]</a:t>
                    </a:fld>
                    <a:endParaRPr lang="en-US"/>
                  </a:p>
                </c:rich>
              </c:tx>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dlblFieldTable/>
                  <c15:showDataLabelsRange val="0"/>
                </c:ext>
                <c:ext xmlns:c16="http://schemas.microsoft.com/office/drawing/2014/chart" uri="{C3380CC4-5D6E-409C-BE32-E72D297353CC}">
                  <c16:uniqueId val="{00000003-3AD2-458C-8EE5-7445BC5E8AA6}"/>
                </c:ext>
              </c:extLst>
            </c:dLbl>
            <c:dLbl>
              <c:idx val="1"/>
              <c:layout>
                <c:manualLayout>
                  <c:x val="-4.4456279584309422E-2"/>
                  <c:y val="3.331740429594641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3AD2-458C-8EE5-7445BC5E8AA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B7A2!$B$1:$G$1</c:f>
              <c:numCache>
                <c:formatCode>General</c:formatCode>
                <c:ptCount val="6"/>
                <c:pt idx="0">
                  <c:v>2014</c:v>
                </c:pt>
                <c:pt idx="1">
                  <c:v>2015</c:v>
                </c:pt>
                <c:pt idx="2">
                  <c:v>2016</c:v>
                </c:pt>
                <c:pt idx="3">
                  <c:v>2017</c:v>
                </c:pt>
                <c:pt idx="4">
                  <c:v>2018</c:v>
                </c:pt>
                <c:pt idx="5">
                  <c:v>2019</c:v>
                </c:pt>
              </c:numCache>
            </c:numRef>
          </c:cat>
          <c:val>
            <c:numRef>
              <c:f>B7A2!$B$3:$G$3</c:f>
              <c:numCache>
                <c:formatCode>0.00%</c:formatCode>
                <c:ptCount val="6"/>
                <c:pt idx="0">
                  <c:v>0.32800000000000001</c:v>
                </c:pt>
                <c:pt idx="1">
                  <c:v>0.33</c:v>
                </c:pt>
                <c:pt idx="2">
                  <c:v>0.60499999999999998</c:v>
                </c:pt>
                <c:pt idx="3">
                  <c:v>0.60499999999999998</c:v>
                </c:pt>
                <c:pt idx="4">
                  <c:v>0.60499999999999998</c:v>
                </c:pt>
                <c:pt idx="5">
                  <c:v>0.60499999999999998</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3AD2-458C-8EE5-7445BC5E8AA6}"/>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000" b="1" i="0" u="none" baseline="0">
                <a:solidFill>
                  <a:srgbClr val="1B75BC"/>
                </a:solidFill>
              </a:rPr>
              <a:t>Datos del indicador B7 de Oregon (resultados preescolares)</a:t>
            </a:r>
          </a:p>
          <a:p>
            <a:pPr rtl="0">
              <a:defRPr/>
            </a:pPr>
            <a:r>
              <a:rPr lang="es-pr" sz="600" b="0" i="0" u="none" baseline="0">
                <a:solidFill>
                  <a:srgbClr val="1B75BC"/>
                </a:solidFill>
              </a:rPr>
              <a:t>Porcentaje de niños en edad preescolar que aumentaron sustancialmente la adquisición y el uso de conocimientos y habilidades (incluido el lenguaje y la comunicación tempranos y la alfabetización te</a:t>
            </a:r>
            <a:endParaRPr lang="es-pr" sz="1000" b="0">
              <a:solidFill>
                <a:srgbClr val="1B75BC"/>
              </a:solidFill>
            </a:endParaRP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B7B1!$A$2</c:f>
              <c:strCache>
                <c:ptCount val="1"/>
                <c:pt idx="0">
                  <c:v>Data</c:v>
                </c:pt>
              </c:strCache>
            </c:strRef>
          </c:tx>
          <c:spPr>
            <a:ln w="28575" cap="rnd">
              <a:solidFill>
                <a:srgbClr val="1B75BC"/>
              </a:solidFill>
              <a:round/>
            </a:ln>
            <a:effectLst/>
          </c:spPr>
          <c:marker>
            <c:symbol val="none"/>
          </c:marker>
          <c:dLbls>
            <c:dLbl>
              <c:idx val="0"/>
              <c:layout>
                <c:manualLayout>
                  <c:x val="-6.6712219387169869E-2"/>
                  <c:y val="-3.961162110662368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4E98-44EF-A35E-10D75679FE2F}"/>
                </c:ext>
              </c:extLst>
            </c:dLbl>
            <c:dLbl>
              <c:idx val="2"/>
              <c:layout>
                <c:manualLayout>
                  <c:x val="-4.4456279584309387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4E98-44EF-A35E-10D75679FE2F}"/>
                </c:ext>
              </c:extLst>
            </c:dLbl>
            <c:dLbl>
              <c:idx val="3"/>
              <c:layout>
                <c:manualLayout>
                  <c:x val="-4.4456279584309311E-2"/>
                  <c:y val="4.282988587019482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2-4E98-44EF-A35E-10D75679FE2F}"/>
                </c:ext>
              </c:extLst>
            </c:dLbl>
            <c:dLbl>
              <c:idx val="4"/>
              <c:layout>
                <c:manualLayout>
                  <c:x val="-5.0526081348725882E-2"/>
                  <c:y val="4.600071306161092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4E98-44EF-A35E-10D75679FE2F}"/>
                </c:ext>
              </c:extLst>
            </c:dLbl>
            <c:dLbl>
              <c:idx val="5"/>
              <c:layout>
                <c:manualLayout>
                  <c:x val="-4.4456279584309533E-2"/>
                  <c:y val="3.648823148736263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4E98-44EF-A35E-10D75679FE2F}"/>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B7B1!$B$2:$G$2</c:f>
              <c:numCache>
                <c:formatCode>0.00%</c:formatCode>
                <c:ptCount val="6"/>
                <c:pt idx="0">
                  <c:v>0.53400000000000003</c:v>
                </c:pt>
                <c:pt idx="1">
                  <c:v>0.73660000000000003</c:v>
                </c:pt>
                <c:pt idx="2">
                  <c:v>0.71450000000000002</c:v>
                </c:pt>
                <c:pt idx="3">
                  <c:v>0.74180000000000001</c:v>
                </c:pt>
                <c:pt idx="4">
                  <c:v>0.74060000000000004</c:v>
                </c:pt>
                <c:pt idx="5">
                  <c:v>0.71989999999999998</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4E98-44EF-A35E-10D75679FE2F}"/>
            </c:ext>
          </c:extLst>
        </c:ser>
        <c:ser>
          <c:idx val="1"/>
          <c:order val="1"/>
          <c:tx>
            <c:strRef>
              <c:f>B7B1!$A$3</c:f>
              <c:strCache>
                <c:ptCount val="1"/>
                <c:pt idx="0">
                  <c:v>Target &gt;=</c:v>
                </c:pt>
              </c:strCache>
            </c:strRef>
          </c:tx>
          <c:spPr>
            <a:ln w="28575" cap="rnd">
              <a:solidFill>
                <a:srgbClr val="408740"/>
              </a:solidFill>
              <a:round/>
            </a:ln>
            <a:effectLst/>
          </c:spPr>
          <c:marker>
            <c:symbol val="none"/>
          </c:marker>
          <c:dLbls>
            <c:dLbl>
              <c:idx val="1"/>
              <c:layout>
                <c:manualLayout>
                  <c:x val="-4.187356647986569E-2"/>
                  <c:y val="1.911479815023122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4E98-44EF-A35E-10D75679FE2F}"/>
                </c:ext>
              </c:extLst>
            </c:dLbl>
            <c:dLbl>
              <c:idx val="3"/>
              <c:layout>
                <c:manualLayout>
                  <c:x val="-4.0409745074698314E-2"/>
                  <c:y val="-3.9611621106623709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4E98-44EF-A35E-10D75679FE2F}"/>
                </c:ext>
              </c:extLst>
            </c:dLbl>
            <c:dLbl>
              <c:idx val="4"/>
              <c:layout>
                <c:manualLayout>
                  <c:x val="-6.1494466907852735E-2"/>
                  <c:y val="-6.3421134858142769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8-4E98-44EF-A35E-10D75679FE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B7B1!$B$3:$G$3</c:f>
              <c:numCache>
                <c:formatCode>0.00%</c:formatCode>
                <c:ptCount val="6"/>
                <c:pt idx="0">
                  <c:v>0.61</c:v>
                </c:pt>
                <c:pt idx="1">
                  <c:v>0.61499999999999999</c:v>
                </c:pt>
                <c:pt idx="2">
                  <c:v>0.74199999999999999</c:v>
                </c:pt>
                <c:pt idx="3">
                  <c:v>0.74199999999999999</c:v>
                </c:pt>
                <c:pt idx="4">
                  <c:v>0.74199999999999999</c:v>
                </c:pt>
                <c:pt idx="5">
                  <c:v>0.74199999999999999</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4E98-44EF-A35E-10D75679FE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B7 de Oregon (resultados preescolares)</a:t>
            </a:r>
          </a:p>
          <a:p>
            <a:pPr rtl="0">
              <a:defRPr/>
            </a:pPr>
            <a:r>
              <a:rPr lang="es-pr" sz="1000" b="0" i="0" u="none" baseline="0">
                <a:solidFill>
                  <a:srgbClr val="1B75BC"/>
                </a:solidFill>
              </a:rPr>
              <a:t>Porcentaje de niños en edad preescolar que se desempeñaban dentro de las expectativas de edad para la adquisición y el uso de conocimientos y habilidades (incluido el lenguaje y la comunicación tem</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B7B2!$A$2</c:f>
              <c:strCache>
                <c:ptCount val="1"/>
                <c:pt idx="0">
                  <c:v>Data</c:v>
                </c:pt>
              </c:strCache>
            </c:strRef>
          </c:tx>
          <c:spPr>
            <a:ln w="28575" cap="rnd">
              <a:solidFill>
                <a:srgbClr val="1B75BC"/>
              </a:solidFill>
              <a:round/>
            </a:ln>
            <a:effectLst/>
          </c:spPr>
          <c:marker>
            <c:symbol val="none"/>
          </c:marker>
          <c:dLbls>
            <c:dLbl>
              <c:idx val="0"/>
              <c:layout>
                <c:manualLayout>
                  <c:x val="-9.1257891750017764E-2"/>
                  <c:y val="-7.1357642794650664E-2"/>
                </c:manualLayout>
              </c:layout>
              <c:tx>
                <c:rich>
                  <a:bodyPr/>
                  <a:lstStyle/>
                  <a:p>
                    <a:fld id="{1FD98EB6-FB8D-4483-AB61-A35D2DCA2BD6}" type="VALUE">
                      <a:rPr lang="en-US" sz="800"/>
                      <a:pPr/>
                      <a:t>[VALUE]</a:t>
                    </a:fld>
                    <a:endParaRPr lang="en-US"/>
                  </a:p>
                </c:rich>
              </c:tx>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dlblFieldTable/>
                  <c15:showDataLabelsRange val="0"/>
                </c:ext>
                <c:ext xmlns:c16="http://schemas.microsoft.com/office/drawing/2014/chart" uri="{C3380CC4-5D6E-409C-BE32-E72D297353CC}">
                  <c16:uniqueId val="{00000000-60C9-4CA5-B106-676203A6B1C2}"/>
                </c:ext>
              </c:extLst>
            </c:dLbl>
            <c:dLbl>
              <c:idx val="2"/>
              <c:layout>
                <c:manualLayout>
                  <c:x val="-3.0293408800670895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60C9-4CA5-B106-676203A6B1C2}"/>
                </c:ext>
              </c:extLst>
            </c:dLbl>
            <c:dLbl>
              <c:idx val="3"/>
              <c:layout>
                <c:manualLayout>
                  <c:x val="-4.4456267290912961E-2"/>
                  <c:y val="4.52977752780902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2-60C9-4CA5-B106-676203A6B1C2}"/>
                </c:ext>
              </c:extLst>
            </c:dLbl>
            <c:dLbl>
              <c:idx val="4"/>
              <c:layout>
                <c:manualLayout>
                  <c:x val="-5.2449398217114751E-2"/>
                  <c:y val="3.772809648793893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60C9-4CA5-B106-676203A6B1C2}"/>
                </c:ext>
              </c:extLst>
            </c:dLbl>
            <c:dLbl>
              <c:idx val="5"/>
              <c:layout>
                <c:manualLayout>
                  <c:x val="-3.8060107351446069E-2"/>
                  <c:y val="-2.973222097237845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8-60C9-4CA5-B106-676203A6B1C2}"/>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B7B2!$B$2:$G$2</c:f>
              <c:numCache>
                <c:formatCode>0.00%</c:formatCode>
                <c:ptCount val="6"/>
                <c:pt idx="0">
                  <c:v>0.24340000000000001</c:v>
                </c:pt>
                <c:pt idx="1">
                  <c:v>0.57840000000000003</c:v>
                </c:pt>
                <c:pt idx="2">
                  <c:v>0.55710000000000004</c:v>
                </c:pt>
                <c:pt idx="3">
                  <c:v>0.54459999999999997</c:v>
                </c:pt>
                <c:pt idx="4">
                  <c:v>0.52610000000000001</c:v>
                </c:pt>
                <c:pt idx="5">
                  <c:v>0.49669999999999997</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60C9-4CA5-B106-676203A6B1C2}"/>
            </c:ext>
          </c:extLst>
        </c:ser>
        <c:ser>
          <c:idx val="1"/>
          <c:order val="1"/>
          <c:tx>
            <c:strRef>
              <c:f>B7B2!$A$3</c:f>
              <c:strCache>
                <c:ptCount val="1"/>
                <c:pt idx="0">
                  <c:v>Target &gt;=</c:v>
                </c:pt>
              </c:strCache>
            </c:strRef>
          </c:tx>
          <c:spPr>
            <a:ln w="28575" cap="rnd">
              <a:solidFill>
                <a:srgbClr val="408740"/>
              </a:solidFill>
              <a:round/>
            </a:ln>
            <a:effectLst/>
          </c:spPr>
          <c:marker>
            <c:symbol val="none"/>
          </c:marker>
          <c:dLbls>
            <c:dLbl>
              <c:idx val="0"/>
              <c:layout>
                <c:manualLayout>
                  <c:x val="-6.4955605211510753E-2"/>
                  <c:y val="1.9836582927134108E-2"/>
                </c:manualLayout>
              </c:layout>
              <c:tx>
                <c:rich>
                  <a:bodyPr/>
                  <a:lstStyle/>
                  <a:p>
                    <a:fld id="{6740218D-F2F6-4596-B4CC-F133CAC1F2C9}" type="VALUE">
                      <a:rPr lang="en-US" sz="800"/>
                      <a:pPr/>
                      <a:t>[VALUE]</a:t>
                    </a:fld>
                    <a:endParaRPr lang="en-US"/>
                  </a:p>
                </c:rich>
              </c:tx>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dlblFieldTable/>
                  <c15:showDataLabelsRange val="0"/>
                </c:ext>
                <c:ext xmlns:c16="http://schemas.microsoft.com/office/drawing/2014/chart" uri="{C3380CC4-5D6E-409C-BE32-E72D297353CC}">
                  <c16:uniqueId val="{00000004-60C9-4CA5-B106-676203A6B1C2}"/>
                </c:ext>
              </c:extLst>
            </c:dLbl>
            <c:dLbl>
              <c:idx val="1"/>
              <c:layout>
                <c:manualLayout>
                  <c:x val="-1.1678016599277129E-3"/>
                  <c:y val="7.0928633920614402E-5"/>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60C9-4CA5-B106-676203A6B1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B7B2!$B$3:$G$3</c:f>
              <c:numCache>
                <c:formatCode>0.00%</c:formatCode>
                <c:ptCount val="6"/>
                <c:pt idx="0">
                  <c:v>0.23899999999999999</c:v>
                </c:pt>
                <c:pt idx="1">
                  <c:v>0.24</c:v>
                </c:pt>
                <c:pt idx="2">
                  <c:v>0.58099999999999996</c:v>
                </c:pt>
                <c:pt idx="3">
                  <c:v>0.58099999999999996</c:v>
                </c:pt>
                <c:pt idx="4">
                  <c:v>0.58099999999999996</c:v>
                </c:pt>
                <c:pt idx="5">
                  <c:v>0.58099999999999996</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6-60C9-4CA5-B106-676203A6B1C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000" b="1" i="0" u="none" baseline="0">
                <a:solidFill>
                  <a:srgbClr val="1B75BC"/>
                </a:solidFill>
              </a:rPr>
              <a:t>Datos del indicador B7 de Oregon (resultados preescolares)</a:t>
            </a:r>
          </a:p>
          <a:p>
            <a:pPr rtl="0">
              <a:defRPr/>
            </a:pPr>
            <a:r>
              <a:rPr lang="es-pr" sz="600" b="0" i="0" u="none" baseline="0">
                <a:solidFill>
                  <a:srgbClr val="1B75BC"/>
                </a:solidFill>
              </a:rPr>
              <a:t>Porcentaje de niños en edad preescolar que aumentaron sustancialmente el uso de comportamientos apropiados para satisfacer sus necesidades</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B7C1!$A$2</c:f>
              <c:strCache>
                <c:ptCount val="1"/>
                <c:pt idx="0">
                  <c:v>Data</c:v>
                </c:pt>
              </c:strCache>
            </c:strRef>
          </c:tx>
          <c:spPr>
            <a:ln w="28575" cap="rnd">
              <a:solidFill>
                <a:srgbClr val="1B75BC"/>
              </a:solidFill>
              <a:round/>
            </a:ln>
            <a:effectLst/>
          </c:spPr>
          <c:marker>
            <c:symbol val="none"/>
          </c:marker>
          <c:dLbls>
            <c:dLbl>
              <c:idx val="0"/>
              <c:layout>
                <c:manualLayout>
                  <c:x val="-2.0229481449953925E-2"/>
                  <c:y val="1.6447080628079386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A108-4514-A9E3-2286E2A5C1FB}"/>
                </c:ext>
              </c:extLst>
            </c:dLbl>
            <c:dLbl>
              <c:idx val="3"/>
              <c:layout>
                <c:manualLayout>
                  <c:x val="-5.1963774798420535E-2"/>
                  <c:y val="-3.327001887921904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A108-4514-A9E3-2286E2A5C1FB}"/>
                </c:ext>
              </c:extLst>
            </c:dLbl>
            <c:spPr>
              <a:noFill/>
              <a:ln>
                <a:noFill/>
              </a:ln>
              <a:effectLst/>
            </c:spPr>
            <c:txPr>
              <a:bodyPr rot="0" spcFirstLastPara="1" vertOverflow="ellipsis" vert="horz" wrap="square" lIns="38100" tIns="19050" rIns="38100" bIns="19050" anchor="ctr" anchorCtr="1">
                <a:spAutoFit/>
              </a:bodyPr>
              <a:lstStyle/>
              <a:p>
                <a:pPr rtl="0">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B7C1!$B$2:$G$2</c:f>
              <c:numCache>
                <c:formatCode>0.00%</c:formatCode>
                <c:ptCount val="6"/>
                <c:pt idx="0">
                  <c:v>0.38800000000000001</c:v>
                </c:pt>
                <c:pt idx="1">
                  <c:v>0.73629999999999995</c:v>
                </c:pt>
                <c:pt idx="2">
                  <c:v>0.73399999999999999</c:v>
                </c:pt>
                <c:pt idx="3">
                  <c:v>0.76349999999999996</c:v>
                </c:pt>
                <c:pt idx="4">
                  <c:v>0.75149999999999995</c:v>
                </c:pt>
                <c:pt idx="5">
                  <c:v>0.75700000000000001</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A108-4514-A9E3-2286E2A5C1FB}"/>
            </c:ext>
          </c:extLst>
        </c:ser>
        <c:ser>
          <c:idx val="1"/>
          <c:order val="1"/>
          <c:tx>
            <c:strRef>
              <c:f>B7C1!$A$3</c:f>
              <c:strCache>
                <c:ptCount val="1"/>
                <c:pt idx="0">
                  <c:v>Target &gt;=</c:v>
                </c:pt>
              </c:strCache>
            </c:strRef>
          </c:tx>
          <c:spPr>
            <a:ln w="28575" cap="rnd">
              <a:solidFill>
                <a:srgbClr val="408740"/>
              </a:solidFill>
              <a:round/>
            </a:ln>
            <a:effectLst/>
          </c:spPr>
          <c:marker>
            <c:symbol val="none"/>
          </c:marker>
          <c:dLbls>
            <c:dLbl>
              <c:idx val="0"/>
              <c:layout>
                <c:manualLayout>
                  <c:x val="-8.6233182000898564E-2"/>
                  <c:y val="-5.2969735690933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9-A108-4514-A9E3-2286E2A5C1FB}"/>
                </c:ext>
              </c:extLst>
            </c:dLbl>
            <c:dLbl>
              <c:idx val="1"/>
              <c:layout>
                <c:manualLayout>
                  <c:x val="-4.4456279584309387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A108-4514-A9E3-2286E2A5C1FB}"/>
                </c:ext>
              </c:extLst>
            </c:dLbl>
            <c:dLbl>
              <c:idx val="2"/>
              <c:layout>
                <c:manualLayout>
                  <c:x val="-2.0177072526643403E-2"/>
                  <c:y val="3.331740429594653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A108-4514-A9E3-2286E2A5C1FB}"/>
                </c:ext>
              </c:extLst>
            </c:dLbl>
            <c:dLbl>
              <c:idx val="3"/>
              <c:layout>
                <c:manualLayout>
                  <c:x val="-4.4456279584309311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A108-4514-A9E3-2286E2A5C1FB}"/>
                </c:ext>
              </c:extLst>
            </c:dLbl>
            <c:dLbl>
              <c:idx val="4"/>
              <c:layout>
                <c:manualLayout>
                  <c:x val="-4.4456279584309387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A108-4514-A9E3-2286E2A5C1FB}"/>
                </c:ext>
              </c:extLst>
            </c:dLbl>
            <c:dLbl>
              <c:idx val="5"/>
              <c:layout>
                <c:manualLayout>
                  <c:x val="-4.4456279584309533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A108-4514-A9E3-2286E2A5C1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B7C1!$B$3:$G$3</c:f>
              <c:numCache>
                <c:formatCode>0.00%</c:formatCode>
                <c:ptCount val="6"/>
                <c:pt idx="0">
                  <c:v>0.45300000000000001</c:v>
                </c:pt>
                <c:pt idx="1">
                  <c:v>0.45500000000000002</c:v>
                </c:pt>
                <c:pt idx="2">
                  <c:v>0.74099999999999999</c:v>
                </c:pt>
                <c:pt idx="3">
                  <c:v>0.74099999999999999</c:v>
                </c:pt>
                <c:pt idx="4">
                  <c:v>0.74099999999999999</c:v>
                </c:pt>
                <c:pt idx="5">
                  <c:v>0.74099999999999999</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8-A108-4514-A9E3-2286E2A5C1F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sz="1000" b="1" i="0" u="none" baseline="0">
                <a:solidFill>
                  <a:srgbClr val="1B75BC"/>
                </a:solidFill>
              </a:rPr>
              <a:t>Datos del indicador B7 de Oregon (resultados preescolares)</a:t>
            </a:r>
          </a:p>
          <a:p>
            <a:pPr rtl="0">
              <a:defRPr/>
            </a:pPr>
            <a:r>
              <a:rPr lang="es-pr" sz="600" b="0" i="0" u="none" baseline="0">
                <a:solidFill>
                  <a:srgbClr val="1B75BC"/>
                </a:solidFill>
              </a:rPr>
              <a:t>Porcentaje de niños en edad preescolar que se desempeñaban dentro de las expectativas de edad para el uso de comportamientos apropiados para satisfacer sus necesidades</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DFBA-4CA9-8922-328D40DBF76D}"/>
                </c:ext>
              </c:extLst>
            </c:dLbl>
            <c:dLbl>
              <c:idx val="2"/>
              <c:layout>
                <c:manualLayout>
                  <c:x val="-3.8386477819892892E-2"/>
                  <c:y val="3.9659058678778669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DFBA-4CA9-8922-328D40DBF76D}"/>
                </c:ext>
              </c:extLst>
            </c:dLbl>
            <c:dLbl>
              <c:idx val="3"/>
              <c:layout>
                <c:manualLayout>
                  <c:x val="-4.4456279584309387E-2"/>
                  <c:y val="3.0146577104530378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2-DFBA-4CA9-8922-328D40DBF76D}"/>
                </c:ext>
              </c:extLst>
            </c:dLbl>
            <c:dLbl>
              <c:idx val="4"/>
              <c:layout>
                <c:manualLayout>
                  <c:x val="-5.0526081348726035E-2"/>
                  <c:y val="3.965905867877872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DFBA-4CA9-8922-328D40DBF76D}"/>
                </c:ext>
              </c:extLst>
            </c:dLbl>
            <c:dLbl>
              <c:idx val="5"/>
              <c:layout>
                <c:manualLayout>
                  <c:x val="-4.2433012329503889E-2"/>
                  <c:y val="3.3317404295946478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DFBA-4CA9-8922-328D40DBF76D}"/>
                </c:ext>
              </c:extLst>
            </c:dLbl>
            <c:spPr>
              <a:noFill/>
              <a:ln>
                <a:noFill/>
              </a:ln>
              <a:effectLst/>
            </c:spPr>
            <c:txPr>
              <a:bodyPr rot="0" spcFirstLastPara="1" vertOverflow="ellipsis" vert="horz" wrap="square" lIns="38100" tIns="19050" rIns="38100" bIns="19050" anchor="ctr" anchorCtr="1">
                <a:spAutoFit/>
              </a:bodyPr>
              <a:lstStyle/>
              <a:p>
                <a:pPr rtl="0">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B7C2!$B$2:$G$2</c:f>
              <c:numCache>
                <c:formatCode>0.00%</c:formatCode>
                <c:ptCount val="6"/>
                <c:pt idx="0">
                  <c:v>0.2883</c:v>
                </c:pt>
                <c:pt idx="1">
                  <c:v>0.61209999999999998</c:v>
                </c:pt>
                <c:pt idx="2">
                  <c:v>0.59740000000000004</c:v>
                </c:pt>
                <c:pt idx="3">
                  <c:v>0.57299999999999995</c:v>
                </c:pt>
                <c:pt idx="4">
                  <c:v>0.5454</c:v>
                </c:pt>
                <c:pt idx="5">
                  <c:v>0.52149999999999996</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DFBA-4CA9-8922-328D40DBF76D}"/>
            </c:ext>
          </c:extLst>
        </c:ser>
        <c:ser>
          <c:idx val="1"/>
          <c:order val="1"/>
          <c:tx>
            <c:strRef>
              <c:f>B7C2!$A$3</c:f>
              <c:strCache>
                <c:ptCount val="1"/>
                <c:pt idx="0">
                  <c:v>Target &gt;=</c:v>
                </c:pt>
              </c:strCache>
            </c:strRef>
          </c:tx>
          <c:spPr>
            <a:ln w="28575" cap="rnd">
              <a:solidFill>
                <a:srgbClr val="408740"/>
              </a:solidFill>
              <a:round/>
            </a:ln>
            <a:effectLst/>
          </c:spPr>
          <c:marker>
            <c:symbol val="none"/>
          </c:marker>
          <c:dLbls>
            <c:dLbl>
              <c:idx val="0"/>
              <c:layout>
                <c:manualLayout>
                  <c:x val="-8.8356269655482253E-2"/>
                  <c:y val="-6.885130312658292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DFBA-4CA9-8922-328D40DBF76D}"/>
                </c:ext>
              </c:extLst>
            </c:dLbl>
            <c:dLbl>
              <c:idx val="1"/>
              <c:layout>
                <c:manualLayout>
                  <c:x val="-1.9643954978600647E-2"/>
                  <c:y val="1.0878574388727725E-4"/>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DFBA-4CA9-8922-328D40DBF76D}"/>
                </c:ext>
              </c:extLst>
            </c:dLbl>
            <c:dLbl>
              <c:idx val="2"/>
              <c:layout>
                <c:manualLayout>
                  <c:x val="-4.4456279584309387E-2"/>
                  <c:y val="-3.326996672379149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8-DFBA-4CA9-8922-328D40DBF76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B7C2!$B$3:$G$3</c:f>
              <c:numCache>
                <c:formatCode>0.00%</c:formatCode>
                <c:ptCount val="6"/>
                <c:pt idx="0">
                  <c:v>0.32</c:v>
                </c:pt>
                <c:pt idx="1">
                  <c:v>0.32200000000000001</c:v>
                </c:pt>
                <c:pt idx="2">
                  <c:v>0.61499999999999999</c:v>
                </c:pt>
                <c:pt idx="3">
                  <c:v>0.61499999999999999</c:v>
                </c:pt>
                <c:pt idx="4">
                  <c:v>0.61499999999999999</c:v>
                </c:pt>
                <c:pt idx="5">
                  <c:v>0.61499999999999999</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DFBA-4CA9-8922-328D40DBF76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2021-12-17T00:31:58+00:00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A6CA5-1F0D-407E-8654-8E85E8EA65F1}"/>
</file>

<file path=customXml/itemProps2.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b47477c3-cea5-4644-a2b9-72f12b741c16"/>
    <ds:schemaRef ds:uri="http://schemas.microsoft.com/office/2006/documentManagement/types"/>
    <ds:schemaRef ds:uri="http://schemas.openxmlformats.org/package/2006/metadata/core-properties"/>
    <ds:schemaRef ds:uri="http://purl.org/dc/dcmitype/"/>
    <ds:schemaRef ds:uri="7f305cf4-7e8c-42e6-816c-ef6b646f0adc"/>
    <ds:schemaRef ds:uri="http://www.w3.org/XML/1998/namespace"/>
    <ds:schemaRef ds:uri="http://purl.org/dc/terms/"/>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2021-12-16T18:51:00Z</dcterms:created>
  <dcterms:modified xsi:type="dcterms:W3CDTF">2021-12-16T18:51:00Z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