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B224" w14:textId="24641779" w:rsidR="00785A94" w:rsidRPr="00BA31D7" w:rsidRDefault="00DF7EC8">
      <w:pPr>
        <w:pStyle w:val="Heading1"/>
        <w:spacing w:before="0"/>
        <w:rPr>
          <w:rFonts w:ascii="Calibri" w:eastAsia="Calibri" w:hAnsi="Calibri" w:cs="Calibri"/>
          <w:sz w:val="32"/>
          <w:szCs w:val="32"/>
        </w:rPr>
      </w:pPr>
      <w:r w:rsidRPr="00BA31D7">
        <w:rPr>
          <w:rFonts w:ascii="Calibri" w:eastAsia="Calibri" w:hAnsi="Calibri" w:cs="Calibri"/>
          <w:sz w:val="32"/>
          <w:szCs w:val="32"/>
        </w:rPr>
        <w:t xml:space="preserve">Appendix F: CTE Program Size, Scope, and Quality </w:t>
      </w:r>
    </w:p>
    <w:p w14:paraId="036EF91B" w14:textId="4E9BEB64" w:rsidR="00785A94" w:rsidRDefault="00DF7EC8">
      <w:pPr>
        <w:widowControl w:val="0"/>
        <w:pBdr>
          <w:top w:val="nil"/>
          <w:left w:val="nil"/>
          <w:bottom w:val="nil"/>
          <w:right w:val="nil"/>
          <w:between w:val="nil"/>
        </w:pBdr>
        <w:spacing w:before="214" w:after="200" w:line="263" w:lineRule="auto"/>
        <w:ind w:left="5" w:hanging="3"/>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definition of size, scope, and quality </w:t>
      </w:r>
      <w:r>
        <w:rPr>
          <w:rFonts w:ascii="Calibri" w:eastAsia="Calibri" w:hAnsi="Calibri" w:cs="Calibri"/>
          <w:color w:val="000000"/>
        </w:rPr>
        <w:t>creates the foundation for a CTE Program of Study. The</w:t>
      </w:r>
      <w:r>
        <w:rPr>
          <w:rFonts w:ascii="Calibri" w:eastAsia="Calibri" w:hAnsi="Calibri" w:cs="Calibri"/>
        </w:rPr>
        <w:t xml:space="preserve"> expectations outlined below for Program Size, Scope, and Quality will </w:t>
      </w:r>
      <w:proofErr w:type="gramStart"/>
      <w:r>
        <w:rPr>
          <w:rFonts w:ascii="Calibri" w:eastAsia="Calibri" w:hAnsi="Calibri" w:cs="Calibri"/>
        </w:rPr>
        <w:t>be used</w:t>
      </w:r>
      <w:proofErr w:type="gramEnd"/>
      <w:r>
        <w:rPr>
          <w:rFonts w:ascii="Calibri" w:eastAsia="Calibri" w:hAnsi="Calibri" w:cs="Calibri"/>
        </w:rPr>
        <w:t xml:space="preserve"> jointly by secondary and postsecondary institutions to demonstrate that a newly proposed CTE Program of Study meets ODE standards for approval. The evidence that each expectation </w:t>
      </w:r>
      <w:proofErr w:type="gramStart"/>
      <w:r>
        <w:rPr>
          <w:rFonts w:ascii="Calibri" w:eastAsia="Calibri" w:hAnsi="Calibri" w:cs="Calibri"/>
        </w:rPr>
        <w:t>is met</w:t>
      </w:r>
      <w:proofErr w:type="gramEnd"/>
      <w:r>
        <w:rPr>
          <w:rFonts w:ascii="Calibri" w:eastAsia="Calibri" w:hAnsi="Calibri" w:cs="Calibri"/>
        </w:rPr>
        <w:t xml:space="preserve"> ranges from objective measures of available credits to documentation of certain aspects of the CTE Program of Study Quality Rubric or community college accreditation. Newly proposed CTE Programs of Study must meet all expectations outlined below, both prior to approval and throughout the program’s lifespan. These expectations will be </w:t>
      </w:r>
      <w:proofErr w:type="gramStart"/>
      <w:r>
        <w:rPr>
          <w:rFonts w:ascii="Calibri" w:eastAsia="Calibri" w:hAnsi="Calibri" w:cs="Calibri"/>
        </w:rPr>
        <w:t>maintained at all times</w:t>
      </w:r>
      <w:proofErr w:type="gramEnd"/>
      <w:r>
        <w:rPr>
          <w:rFonts w:ascii="Calibri" w:eastAsia="Calibri" w:hAnsi="Calibri" w:cs="Calibri"/>
        </w:rPr>
        <w:t xml:space="preserve">, and programs will demonstrate their continued adherence to expectations during the CTE Program of Study renewal process. The expectations of </w:t>
      </w:r>
      <w:r>
        <w:rPr>
          <w:rFonts w:ascii="Calibri" w:eastAsia="Calibri" w:hAnsi="Calibri" w:cs="Calibri"/>
          <w:color w:val="000000"/>
        </w:rPr>
        <w:t xml:space="preserve">Program Size, Scope, and Quality will be used in conjunction with the </w:t>
      </w:r>
      <w:hyperlink r:id="rId7">
        <w:r>
          <w:rPr>
            <w:rFonts w:ascii="Calibri" w:eastAsia="Calibri" w:hAnsi="Calibri" w:cs="Calibri"/>
            <w:color w:val="1155CC"/>
            <w:u w:val="single"/>
          </w:rPr>
          <w:t xml:space="preserve">CTE Program of Study Quality Rubric </w:t>
        </w:r>
      </w:hyperlink>
      <w:r>
        <w:rPr>
          <w:rFonts w:ascii="Calibri" w:eastAsia="Calibri" w:hAnsi="Calibri" w:cs="Calibri"/>
          <w:color w:val="000000"/>
        </w:rPr>
        <w:t xml:space="preserve">and the CTE needs assessment to help create a plan for continuous improvement and a focus </w:t>
      </w:r>
      <w:r>
        <w:rPr>
          <w:rFonts w:ascii="Calibri" w:eastAsia="Calibri" w:hAnsi="Calibri" w:cs="Calibri"/>
        </w:rPr>
        <w:t>on</w:t>
      </w:r>
      <w:r>
        <w:rPr>
          <w:rFonts w:ascii="Calibri" w:eastAsia="Calibri" w:hAnsi="Calibri" w:cs="Calibri"/>
          <w:color w:val="000000"/>
        </w:rPr>
        <w:t xml:space="preserve"> </w:t>
      </w:r>
      <w:r>
        <w:rPr>
          <w:rFonts w:ascii="Calibri" w:eastAsia="Calibri" w:hAnsi="Calibri" w:cs="Calibri"/>
        </w:rPr>
        <w:t xml:space="preserve">the regional </w:t>
      </w:r>
      <w:r>
        <w:rPr>
          <w:rFonts w:ascii="Calibri" w:eastAsia="Calibri" w:hAnsi="Calibri" w:cs="Calibri"/>
          <w:color w:val="000000"/>
        </w:rPr>
        <w:t xml:space="preserve">allocation of resources. </w:t>
      </w:r>
      <w:r>
        <w:rPr>
          <w:rFonts w:ascii="Calibri" w:eastAsia="Calibri" w:hAnsi="Calibri" w:cs="Calibri"/>
          <w:b/>
          <w:color w:val="000000"/>
        </w:rPr>
        <w:t xml:space="preserve">Size, scope, and quality </w:t>
      </w:r>
      <w:r>
        <w:rPr>
          <w:rFonts w:ascii="Calibri" w:eastAsia="Calibri" w:hAnsi="Calibri" w:cs="Calibri"/>
        </w:rPr>
        <w:t>are measures</w:t>
      </w:r>
      <w:r>
        <w:rPr>
          <w:rFonts w:ascii="Calibri" w:eastAsia="Calibri" w:hAnsi="Calibri" w:cs="Calibri"/>
          <w:color w:val="000000"/>
        </w:rPr>
        <w:t xml:space="preserve"> of the overall ability of the CTE Program of Study to address all the standards of its identified skill set and to intentionally prepare the </w:t>
      </w:r>
      <w:r>
        <w:rPr>
          <w:rFonts w:ascii="Calibri" w:eastAsia="Calibri" w:hAnsi="Calibri" w:cs="Calibri"/>
        </w:rPr>
        <w:t>students for their</w:t>
      </w:r>
      <w:r>
        <w:rPr>
          <w:rFonts w:ascii="Calibri" w:eastAsia="Calibri" w:hAnsi="Calibri" w:cs="Calibri"/>
          <w:color w:val="000000"/>
        </w:rPr>
        <w:t xml:space="preserve"> next steps on a complete and robust career pathway. </w:t>
      </w:r>
    </w:p>
    <w:p w14:paraId="5357351C" w14:textId="77777777" w:rsidR="00785A94" w:rsidRDefault="00DF7EC8">
      <w:pPr>
        <w:widowControl w:val="0"/>
        <w:pBdr>
          <w:top w:val="nil"/>
          <w:left w:val="nil"/>
          <w:bottom w:val="nil"/>
          <w:right w:val="nil"/>
          <w:between w:val="nil"/>
        </w:pBdr>
        <w:spacing w:before="214" w:line="263" w:lineRule="auto"/>
        <w:ind w:left="1"/>
        <w:rPr>
          <w:rFonts w:ascii="Calibri" w:eastAsia="Calibri" w:hAnsi="Calibri" w:cs="Calibri"/>
          <w:b/>
          <w:color w:val="2E74B5"/>
          <w:sz w:val="28"/>
          <w:szCs w:val="28"/>
        </w:rPr>
      </w:pPr>
      <w:r>
        <w:rPr>
          <w:rFonts w:ascii="Calibri" w:eastAsia="Calibri" w:hAnsi="Calibri" w:cs="Calibri"/>
          <w:b/>
          <w:color w:val="2E74B5"/>
          <w:sz w:val="28"/>
          <w:szCs w:val="28"/>
        </w:rPr>
        <w:t xml:space="preserve">Size </w:t>
      </w:r>
    </w:p>
    <w:tbl>
      <w:tblPr>
        <w:tblStyle w:val="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60"/>
        <w:gridCol w:w="7800"/>
      </w:tblGrid>
      <w:tr w:rsidR="00785A94" w14:paraId="402CBB42" w14:textId="77777777" w:rsidTr="00D64A22">
        <w:trPr>
          <w:trHeight w:val="441"/>
        </w:trPr>
        <w:tc>
          <w:tcPr>
            <w:tcW w:w="1560" w:type="dxa"/>
            <w:shd w:val="clear" w:color="auto" w:fill="F2FAFE"/>
            <w:tcMar>
              <w:top w:w="100" w:type="dxa"/>
              <w:left w:w="100" w:type="dxa"/>
              <w:bottom w:w="100" w:type="dxa"/>
              <w:right w:w="100" w:type="dxa"/>
            </w:tcMar>
          </w:tcPr>
          <w:p w14:paraId="539D44C5" w14:textId="77777777" w:rsidR="00785A94" w:rsidRDefault="00DF7E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Element</w:t>
            </w:r>
          </w:p>
        </w:tc>
        <w:tc>
          <w:tcPr>
            <w:tcW w:w="7800" w:type="dxa"/>
            <w:shd w:val="clear" w:color="auto" w:fill="F2FAFE"/>
            <w:tcMar>
              <w:top w:w="100" w:type="dxa"/>
              <w:left w:w="100" w:type="dxa"/>
              <w:bottom w:w="100" w:type="dxa"/>
              <w:right w:w="100" w:type="dxa"/>
            </w:tcMar>
          </w:tcPr>
          <w:p w14:paraId="53640BFD" w14:textId="77777777" w:rsidR="00785A94" w:rsidRDefault="00DF7EC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Expectation</w:t>
            </w:r>
          </w:p>
        </w:tc>
      </w:tr>
      <w:tr w:rsidR="00785A94" w14:paraId="49A3B513" w14:textId="77777777" w:rsidTr="00D64A22">
        <w:trPr>
          <w:trHeight w:val="1296"/>
        </w:trPr>
        <w:tc>
          <w:tcPr>
            <w:tcW w:w="1560" w:type="dxa"/>
            <w:shd w:val="clear" w:color="auto" w:fill="F3F3F3"/>
            <w:tcMar>
              <w:top w:w="100" w:type="dxa"/>
              <w:left w:w="100" w:type="dxa"/>
              <w:bottom w:w="100" w:type="dxa"/>
              <w:right w:w="100" w:type="dxa"/>
            </w:tcMar>
          </w:tcPr>
          <w:p w14:paraId="0F189E5C" w14:textId="77777777" w:rsidR="00785A94" w:rsidRDefault="00DF7EC8">
            <w:pPr>
              <w:widowControl w:val="0"/>
              <w:pBdr>
                <w:top w:val="nil"/>
                <w:left w:val="nil"/>
                <w:bottom w:val="nil"/>
                <w:right w:val="nil"/>
                <w:between w:val="nil"/>
              </w:pBdr>
              <w:spacing w:line="240" w:lineRule="auto"/>
              <w:ind w:left="121"/>
              <w:rPr>
                <w:rFonts w:ascii="Calibri" w:eastAsia="Calibri" w:hAnsi="Calibri" w:cs="Calibri"/>
                <w:b/>
                <w:color w:val="000000"/>
              </w:rPr>
            </w:pPr>
            <w:r>
              <w:rPr>
                <w:rFonts w:ascii="Calibri" w:eastAsia="Calibri" w:hAnsi="Calibri" w:cs="Calibri"/>
                <w:b/>
                <w:color w:val="000000"/>
              </w:rPr>
              <w:t xml:space="preserve">Credits </w:t>
            </w:r>
          </w:p>
        </w:tc>
        <w:tc>
          <w:tcPr>
            <w:tcW w:w="7800" w:type="dxa"/>
            <w:shd w:val="clear" w:color="auto" w:fill="auto"/>
            <w:tcMar>
              <w:top w:w="100" w:type="dxa"/>
              <w:left w:w="100" w:type="dxa"/>
              <w:bottom w:w="100" w:type="dxa"/>
              <w:right w:w="100" w:type="dxa"/>
            </w:tcMar>
          </w:tcPr>
          <w:p w14:paraId="3E7FD88F" w14:textId="42232A2B" w:rsidR="00785A94" w:rsidRDefault="00DF7EC8">
            <w:pPr>
              <w:spacing w:line="240" w:lineRule="auto"/>
              <w:rPr>
                <w:rFonts w:ascii="Calibri" w:eastAsia="Calibri" w:hAnsi="Calibri" w:cs="Calibri"/>
              </w:rPr>
            </w:pPr>
            <w:r>
              <w:rPr>
                <w:rFonts w:ascii="Calibri" w:eastAsia="Calibri" w:hAnsi="Calibri" w:cs="Calibri"/>
              </w:rPr>
              <w:t xml:space="preserve">The secondary component has a minimum of three year-long credits or equivalent and aligns to a community college certificate or degree that is at least </w:t>
            </w:r>
            <w:proofErr w:type="gramStart"/>
            <w:r>
              <w:rPr>
                <w:rFonts w:ascii="Calibri" w:eastAsia="Calibri" w:hAnsi="Calibri" w:cs="Calibri"/>
              </w:rPr>
              <w:t>36</w:t>
            </w:r>
            <w:proofErr w:type="gramEnd"/>
            <w:r>
              <w:rPr>
                <w:rFonts w:ascii="Calibri" w:eastAsia="Calibri" w:hAnsi="Calibri" w:cs="Calibri"/>
              </w:rPr>
              <w:t xml:space="preserve"> quarter credits or equivalent. </w:t>
            </w:r>
          </w:p>
        </w:tc>
      </w:tr>
    </w:tbl>
    <w:p w14:paraId="28666C8D" w14:textId="77777777" w:rsidR="00785A94" w:rsidRDefault="00DF7EC8">
      <w:pPr>
        <w:widowControl w:val="0"/>
        <w:pBdr>
          <w:top w:val="nil"/>
          <w:left w:val="nil"/>
          <w:bottom w:val="nil"/>
          <w:right w:val="nil"/>
          <w:between w:val="nil"/>
        </w:pBdr>
        <w:spacing w:before="200" w:line="240" w:lineRule="auto"/>
        <w:ind w:left="8"/>
        <w:rPr>
          <w:rFonts w:ascii="Calibri" w:eastAsia="Calibri" w:hAnsi="Calibri" w:cs="Calibri"/>
          <w:b/>
          <w:color w:val="2E74B5"/>
          <w:sz w:val="28"/>
          <w:szCs w:val="28"/>
        </w:rPr>
      </w:pPr>
      <w:r>
        <w:rPr>
          <w:rFonts w:ascii="Calibri" w:eastAsia="Calibri" w:hAnsi="Calibri" w:cs="Calibri"/>
          <w:b/>
          <w:color w:val="2E74B5"/>
          <w:sz w:val="28"/>
          <w:szCs w:val="28"/>
        </w:rPr>
        <w:t>Scope</w:t>
      </w:r>
    </w:p>
    <w:tbl>
      <w:tblPr>
        <w:tblStyle w:val="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90"/>
        <w:gridCol w:w="7770"/>
      </w:tblGrid>
      <w:tr w:rsidR="00785A94" w14:paraId="3B95DAEC" w14:textId="77777777" w:rsidTr="00D64A22">
        <w:trPr>
          <w:trHeight w:val="441"/>
        </w:trPr>
        <w:tc>
          <w:tcPr>
            <w:tcW w:w="1590" w:type="dxa"/>
            <w:shd w:val="clear" w:color="auto" w:fill="F2FAFE"/>
            <w:tcMar>
              <w:top w:w="100" w:type="dxa"/>
              <w:left w:w="100" w:type="dxa"/>
              <w:bottom w:w="100" w:type="dxa"/>
              <w:right w:w="100" w:type="dxa"/>
            </w:tcMar>
          </w:tcPr>
          <w:p w14:paraId="7C5F1E1B" w14:textId="77777777" w:rsidR="00785A94" w:rsidRDefault="00DF7EC8">
            <w:pPr>
              <w:widowControl w:val="0"/>
              <w:spacing w:line="240" w:lineRule="auto"/>
              <w:rPr>
                <w:rFonts w:ascii="Calibri" w:eastAsia="Calibri" w:hAnsi="Calibri" w:cs="Calibri"/>
                <w:b/>
              </w:rPr>
            </w:pPr>
            <w:r>
              <w:rPr>
                <w:rFonts w:ascii="Calibri" w:eastAsia="Calibri" w:hAnsi="Calibri" w:cs="Calibri"/>
                <w:b/>
              </w:rPr>
              <w:t>Element</w:t>
            </w:r>
          </w:p>
        </w:tc>
        <w:tc>
          <w:tcPr>
            <w:tcW w:w="7770" w:type="dxa"/>
            <w:shd w:val="clear" w:color="auto" w:fill="F2FAFE"/>
            <w:tcMar>
              <w:top w:w="100" w:type="dxa"/>
              <w:left w:w="100" w:type="dxa"/>
              <w:bottom w:w="100" w:type="dxa"/>
              <w:right w:w="100" w:type="dxa"/>
            </w:tcMar>
          </w:tcPr>
          <w:p w14:paraId="6812FD8C" w14:textId="77777777" w:rsidR="00785A94" w:rsidRDefault="00DF7EC8">
            <w:pPr>
              <w:widowControl w:val="0"/>
              <w:spacing w:line="240" w:lineRule="auto"/>
              <w:rPr>
                <w:rFonts w:ascii="Calibri" w:eastAsia="Calibri" w:hAnsi="Calibri" w:cs="Calibri"/>
                <w:b/>
              </w:rPr>
            </w:pPr>
            <w:r>
              <w:rPr>
                <w:rFonts w:ascii="Calibri" w:eastAsia="Calibri" w:hAnsi="Calibri" w:cs="Calibri"/>
                <w:b/>
              </w:rPr>
              <w:t xml:space="preserve">Expectation </w:t>
            </w:r>
          </w:p>
        </w:tc>
      </w:tr>
      <w:tr w:rsidR="00785A94" w14:paraId="4118F740" w14:textId="77777777" w:rsidTr="00D64A22">
        <w:trPr>
          <w:trHeight w:val="1271"/>
        </w:trPr>
        <w:tc>
          <w:tcPr>
            <w:tcW w:w="1590" w:type="dxa"/>
            <w:shd w:val="clear" w:color="auto" w:fill="F3F3F3"/>
            <w:tcMar>
              <w:top w:w="100" w:type="dxa"/>
              <w:left w:w="100" w:type="dxa"/>
              <w:bottom w:w="100" w:type="dxa"/>
              <w:right w:w="100" w:type="dxa"/>
            </w:tcMar>
          </w:tcPr>
          <w:p w14:paraId="7EFC5B42" w14:textId="77777777" w:rsidR="00785A94" w:rsidRDefault="00DF7EC8">
            <w:pPr>
              <w:widowControl w:val="0"/>
              <w:spacing w:line="240" w:lineRule="auto"/>
              <w:ind w:left="127"/>
              <w:rPr>
                <w:rFonts w:ascii="Calibri" w:eastAsia="Calibri" w:hAnsi="Calibri" w:cs="Calibri"/>
                <w:b/>
              </w:rPr>
            </w:pPr>
            <w:r>
              <w:rPr>
                <w:rFonts w:ascii="Calibri" w:eastAsia="Calibri" w:hAnsi="Calibri" w:cs="Calibri"/>
                <w:b/>
              </w:rPr>
              <w:t xml:space="preserve">Depth of Program </w:t>
            </w:r>
          </w:p>
        </w:tc>
        <w:tc>
          <w:tcPr>
            <w:tcW w:w="7770" w:type="dxa"/>
            <w:shd w:val="clear" w:color="auto" w:fill="auto"/>
            <w:tcMar>
              <w:top w:w="100" w:type="dxa"/>
              <w:left w:w="100" w:type="dxa"/>
              <w:bottom w:w="100" w:type="dxa"/>
              <w:right w:w="100" w:type="dxa"/>
            </w:tcMar>
          </w:tcPr>
          <w:p w14:paraId="3245F6C7" w14:textId="2D3B8C09" w:rsidR="00785A94" w:rsidRDefault="00DF7EC8">
            <w:pPr>
              <w:spacing w:line="240" w:lineRule="auto"/>
              <w:rPr>
                <w:rFonts w:ascii="Calibri" w:eastAsia="Calibri" w:hAnsi="Calibri" w:cs="Calibri"/>
              </w:rPr>
            </w:pPr>
            <w:r>
              <w:rPr>
                <w:rFonts w:ascii="Calibri" w:eastAsia="Calibri" w:hAnsi="Calibri" w:cs="Calibri"/>
              </w:rPr>
              <w:t>The program encompasses a sequence of courses that progress from introductory to advanced content, covering the full range of the program’s associated knowledge and skill sets and providing students the opportunity to become secondary and/or postsecondary CTE concentrators</w:t>
            </w:r>
            <w:r>
              <w:rPr>
                <w:rFonts w:ascii="Calibri" w:eastAsia="Calibri" w:hAnsi="Calibri" w:cs="Calibri"/>
                <w:vertAlign w:val="superscript"/>
              </w:rPr>
              <w:footnoteReference w:id="1"/>
            </w:r>
            <w:r>
              <w:rPr>
                <w:rFonts w:ascii="Calibri" w:eastAsia="Calibri" w:hAnsi="Calibri" w:cs="Calibri"/>
              </w:rPr>
              <w:t xml:space="preserve"> and completers.</w:t>
            </w:r>
            <w:r>
              <w:rPr>
                <w:rFonts w:ascii="Calibri" w:eastAsia="Calibri" w:hAnsi="Calibri" w:cs="Calibri"/>
                <w:vertAlign w:val="superscript"/>
              </w:rPr>
              <w:footnoteReference w:id="2"/>
            </w:r>
          </w:p>
        </w:tc>
      </w:tr>
      <w:tr w:rsidR="00785A94" w14:paraId="5E7C0B3E" w14:textId="77777777" w:rsidTr="00D64A22">
        <w:trPr>
          <w:trHeight w:val="1295"/>
        </w:trPr>
        <w:tc>
          <w:tcPr>
            <w:tcW w:w="1590" w:type="dxa"/>
            <w:shd w:val="clear" w:color="auto" w:fill="F3F3F3"/>
            <w:tcMar>
              <w:top w:w="100" w:type="dxa"/>
              <w:left w:w="100" w:type="dxa"/>
              <w:bottom w:w="100" w:type="dxa"/>
              <w:right w:w="100" w:type="dxa"/>
            </w:tcMar>
          </w:tcPr>
          <w:p w14:paraId="75D22C9C" w14:textId="77777777" w:rsidR="00785A94" w:rsidRDefault="00DF7EC8">
            <w:pPr>
              <w:widowControl w:val="0"/>
              <w:pBdr>
                <w:top w:val="nil"/>
                <w:left w:val="nil"/>
                <w:bottom w:val="nil"/>
                <w:right w:val="nil"/>
                <w:between w:val="nil"/>
              </w:pBdr>
              <w:spacing w:line="240" w:lineRule="auto"/>
              <w:ind w:left="127"/>
              <w:rPr>
                <w:rFonts w:ascii="Calibri" w:eastAsia="Calibri" w:hAnsi="Calibri" w:cs="Calibri"/>
                <w:b/>
                <w:color w:val="000000"/>
              </w:rPr>
            </w:pPr>
            <w:r>
              <w:rPr>
                <w:rFonts w:ascii="Calibri" w:eastAsia="Calibri" w:hAnsi="Calibri" w:cs="Calibri"/>
                <w:b/>
                <w:color w:val="000000"/>
              </w:rPr>
              <w:lastRenderedPageBreak/>
              <w:t xml:space="preserve">Breadth of Program </w:t>
            </w:r>
          </w:p>
        </w:tc>
        <w:tc>
          <w:tcPr>
            <w:tcW w:w="7770" w:type="dxa"/>
            <w:shd w:val="clear" w:color="auto" w:fill="auto"/>
            <w:tcMar>
              <w:top w:w="100" w:type="dxa"/>
              <w:left w:w="100" w:type="dxa"/>
              <w:bottom w:w="100" w:type="dxa"/>
              <w:right w:w="100" w:type="dxa"/>
            </w:tcMar>
          </w:tcPr>
          <w:p w14:paraId="1B065F20" w14:textId="77777777" w:rsidR="00785A94" w:rsidRDefault="00DF7EC8">
            <w:pPr>
              <w:spacing w:line="240" w:lineRule="auto"/>
              <w:rPr>
                <w:rFonts w:ascii="Calibri" w:eastAsia="Calibri" w:hAnsi="Calibri" w:cs="Calibri"/>
              </w:rPr>
            </w:pPr>
            <w:r>
              <w:rPr>
                <w:rFonts w:ascii="Calibri" w:eastAsia="Calibri" w:hAnsi="Calibri" w:cs="Calibri"/>
              </w:rPr>
              <w:t xml:space="preserve">The program is built on a comprehensive set of industry-validated technical, academic, and employability skills, such as the </w:t>
            </w:r>
            <w:hyperlink r:id="rId8">
              <w:r>
                <w:rPr>
                  <w:rFonts w:ascii="Calibri" w:eastAsia="Calibri" w:hAnsi="Calibri" w:cs="Calibri"/>
                  <w:color w:val="1155CC"/>
                  <w:u w:val="single"/>
                </w:rPr>
                <w:t>Orego</w:t>
              </w:r>
              <w:r>
                <w:rPr>
                  <w:rFonts w:ascii="Calibri" w:eastAsia="Calibri" w:hAnsi="Calibri" w:cs="Calibri"/>
                  <w:color w:val="1155CC"/>
                  <w:u w:val="single"/>
                </w:rPr>
                <w:t>n</w:t>
              </w:r>
              <w:r>
                <w:rPr>
                  <w:rFonts w:ascii="Calibri" w:eastAsia="Calibri" w:hAnsi="Calibri" w:cs="Calibri"/>
                  <w:color w:val="1155CC"/>
                  <w:u w:val="single"/>
                </w:rPr>
                <w:t xml:space="preserve"> Skill Sets</w:t>
              </w:r>
            </w:hyperlink>
            <w:r>
              <w:rPr>
                <w:rFonts w:ascii="Calibri" w:eastAsia="Calibri" w:hAnsi="Calibri" w:cs="Calibri"/>
              </w:rPr>
              <w:t>. Programs include a partnership between at least one high school and community college, alongside relevant industry partners.</w:t>
            </w:r>
          </w:p>
        </w:tc>
      </w:tr>
      <w:tr w:rsidR="00785A94" w14:paraId="1609CED9" w14:textId="77777777" w:rsidTr="00D64A22">
        <w:trPr>
          <w:trHeight w:val="1260"/>
        </w:trPr>
        <w:tc>
          <w:tcPr>
            <w:tcW w:w="1590" w:type="dxa"/>
            <w:shd w:val="clear" w:color="auto" w:fill="F3F3F3"/>
            <w:tcMar>
              <w:top w:w="100" w:type="dxa"/>
              <w:left w:w="100" w:type="dxa"/>
              <w:bottom w:w="100" w:type="dxa"/>
              <w:right w:w="100" w:type="dxa"/>
            </w:tcMar>
          </w:tcPr>
          <w:p w14:paraId="57C82157" w14:textId="77777777" w:rsidR="00785A94" w:rsidRDefault="00DF7EC8">
            <w:pPr>
              <w:widowControl w:val="0"/>
              <w:spacing w:line="240" w:lineRule="auto"/>
              <w:ind w:left="127"/>
              <w:rPr>
                <w:rFonts w:ascii="Calibri" w:eastAsia="Calibri" w:hAnsi="Calibri" w:cs="Calibri"/>
                <w:b/>
              </w:rPr>
            </w:pPr>
            <w:r>
              <w:rPr>
                <w:rFonts w:ascii="Calibri" w:eastAsia="Calibri" w:hAnsi="Calibri" w:cs="Calibri"/>
                <w:b/>
              </w:rPr>
              <w:t>Current and Relevant Facilities and Equipment</w:t>
            </w:r>
          </w:p>
        </w:tc>
        <w:tc>
          <w:tcPr>
            <w:tcW w:w="7770" w:type="dxa"/>
            <w:shd w:val="clear" w:color="auto" w:fill="auto"/>
            <w:tcMar>
              <w:top w:w="100" w:type="dxa"/>
              <w:left w:w="100" w:type="dxa"/>
              <w:bottom w:w="100" w:type="dxa"/>
              <w:right w:w="100" w:type="dxa"/>
            </w:tcMar>
          </w:tcPr>
          <w:p w14:paraId="33B3DBF3" w14:textId="77777777" w:rsidR="00785A94" w:rsidRDefault="00DF7EC8">
            <w:pPr>
              <w:spacing w:line="240" w:lineRule="auto"/>
              <w:rPr>
                <w:rFonts w:ascii="Calibri" w:eastAsia="Calibri" w:hAnsi="Calibri" w:cs="Calibri"/>
              </w:rPr>
            </w:pPr>
            <w:r>
              <w:rPr>
                <w:rFonts w:ascii="Calibri" w:eastAsia="Calibri" w:hAnsi="Calibri" w:cs="Calibri"/>
              </w:rPr>
              <w:t>The program provides the industry-standard facilities, equipment, and technology needed to address the complete skill set. CTE learning environments adhere to industry-appropriate expectations and guidelines concerning safety and cleanliness in the workplace.</w:t>
            </w:r>
          </w:p>
        </w:tc>
      </w:tr>
      <w:tr w:rsidR="00785A94" w14:paraId="1F09EFA1" w14:textId="77777777" w:rsidTr="00D64A22">
        <w:trPr>
          <w:trHeight w:val="1031"/>
        </w:trPr>
        <w:tc>
          <w:tcPr>
            <w:tcW w:w="1590" w:type="dxa"/>
            <w:shd w:val="clear" w:color="auto" w:fill="F3F3F3"/>
            <w:tcMar>
              <w:top w:w="100" w:type="dxa"/>
              <w:left w:w="100" w:type="dxa"/>
              <w:bottom w:w="100" w:type="dxa"/>
              <w:right w:w="100" w:type="dxa"/>
            </w:tcMar>
          </w:tcPr>
          <w:p w14:paraId="11511EF2" w14:textId="77777777" w:rsidR="00785A94" w:rsidRDefault="00DF7EC8">
            <w:pPr>
              <w:widowControl w:val="0"/>
              <w:spacing w:line="240" w:lineRule="auto"/>
              <w:ind w:left="121"/>
              <w:rPr>
                <w:rFonts w:ascii="Calibri" w:eastAsia="Calibri" w:hAnsi="Calibri" w:cs="Calibri"/>
                <w:b/>
              </w:rPr>
            </w:pPr>
            <w:r>
              <w:rPr>
                <w:rFonts w:ascii="Calibri" w:eastAsia="Calibri" w:hAnsi="Calibri" w:cs="Calibri"/>
                <w:b/>
              </w:rPr>
              <w:t>Current and Relevant Curriculum</w:t>
            </w:r>
          </w:p>
        </w:tc>
        <w:tc>
          <w:tcPr>
            <w:tcW w:w="7770" w:type="dxa"/>
            <w:shd w:val="clear" w:color="auto" w:fill="auto"/>
            <w:tcMar>
              <w:top w:w="100" w:type="dxa"/>
              <w:left w:w="100" w:type="dxa"/>
              <w:bottom w:w="100" w:type="dxa"/>
              <w:right w:w="100" w:type="dxa"/>
            </w:tcMar>
          </w:tcPr>
          <w:p w14:paraId="701CE1A8" w14:textId="77777777" w:rsidR="00785A94" w:rsidRDefault="00DF7EC8">
            <w:pPr>
              <w:spacing w:line="240" w:lineRule="auto"/>
              <w:rPr>
                <w:rFonts w:ascii="Calibri" w:eastAsia="Calibri" w:hAnsi="Calibri" w:cs="Calibri"/>
              </w:rPr>
            </w:pPr>
            <w:r>
              <w:rPr>
                <w:rFonts w:ascii="Calibri" w:eastAsia="Calibri" w:hAnsi="Calibri" w:cs="Calibri"/>
              </w:rPr>
              <w:t>The program provides curriculum aligned to industry-validated standards and prepares students for postsecondary credentials and careers.</w:t>
            </w:r>
          </w:p>
        </w:tc>
      </w:tr>
    </w:tbl>
    <w:p w14:paraId="5B3AC83B" w14:textId="77777777" w:rsidR="00785A94" w:rsidRDefault="00DF7EC8">
      <w:pPr>
        <w:widowControl w:val="0"/>
        <w:pBdr>
          <w:top w:val="nil"/>
          <w:left w:val="nil"/>
          <w:bottom w:val="nil"/>
          <w:right w:val="nil"/>
          <w:between w:val="nil"/>
        </w:pBdr>
        <w:spacing w:before="200" w:line="240" w:lineRule="auto"/>
        <w:ind w:left="10"/>
        <w:rPr>
          <w:rFonts w:ascii="Calibri" w:eastAsia="Calibri" w:hAnsi="Calibri" w:cs="Calibri"/>
          <w:b/>
          <w:color w:val="2E74B5"/>
          <w:sz w:val="28"/>
          <w:szCs w:val="28"/>
        </w:rPr>
      </w:pPr>
      <w:r>
        <w:rPr>
          <w:rFonts w:ascii="Calibri" w:eastAsia="Calibri" w:hAnsi="Calibri" w:cs="Calibri"/>
          <w:b/>
          <w:color w:val="2E74B5"/>
          <w:sz w:val="28"/>
          <w:szCs w:val="28"/>
        </w:rPr>
        <w:t>Quality</w:t>
      </w:r>
    </w:p>
    <w:tbl>
      <w:tblPr>
        <w:tblStyle w:val="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590"/>
        <w:gridCol w:w="7770"/>
      </w:tblGrid>
      <w:tr w:rsidR="00785A94" w14:paraId="5AB39087" w14:textId="77777777" w:rsidTr="00D64A22">
        <w:trPr>
          <w:trHeight w:val="442"/>
        </w:trPr>
        <w:tc>
          <w:tcPr>
            <w:tcW w:w="1590" w:type="dxa"/>
            <w:shd w:val="clear" w:color="auto" w:fill="F2FAFE"/>
            <w:tcMar>
              <w:top w:w="100" w:type="dxa"/>
              <w:left w:w="100" w:type="dxa"/>
              <w:bottom w:w="100" w:type="dxa"/>
              <w:right w:w="100" w:type="dxa"/>
            </w:tcMar>
          </w:tcPr>
          <w:p w14:paraId="792069FA" w14:textId="77777777" w:rsidR="00785A94" w:rsidRDefault="00DF7EC8">
            <w:pPr>
              <w:widowControl w:val="0"/>
              <w:spacing w:line="240" w:lineRule="auto"/>
              <w:rPr>
                <w:rFonts w:ascii="Calibri" w:eastAsia="Calibri" w:hAnsi="Calibri" w:cs="Calibri"/>
                <w:b/>
              </w:rPr>
            </w:pPr>
            <w:r>
              <w:rPr>
                <w:rFonts w:ascii="Calibri" w:eastAsia="Calibri" w:hAnsi="Calibri" w:cs="Calibri"/>
                <w:b/>
              </w:rPr>
              <w:t>Element</w:t>
            </w:r>
          </w:p>
        </w:tc>
        <w:tc>
          <w:tcPr>
            <w:tcW w:w="7770" w:type="dxa"/>
            <w:shd w:val="clear" w:color="auto" w:fill="F2FAFE"/>
            <w:tcMar>
              <w:top w:w="100" w:type="dxa"/>
              <w:left w:w="100" w:type="dxa"/>
              <w:bottom w:w="100" w:type="dxa"/>
              <w:right w:w="100" w:type="dxa"/>
            </w:tcMar>
          </w:tcPr>
          <w:p w14:paraId="6B8EA742" w14:textId="77777777" w:rsidR="00785A94" w:rsidRDefault="00DF7EC8">
            <w:pPr>
              <w:widowControl w:val="0"/>
              <w:spacing w:line="240" w:lineRule="auto"/>
              <w:rPr>
                <w:rFonts w:ascii="Calibri" w:eastAsia="Calibri" w:hAnsi="Calibri" w:cs="Calibri"/>
                <w:b/>
              </w:rPr>
            </w:pPr>
            <w:r>
              <w:rPr>
                <w:rFonts w:ascii="Calibri" w:eastAsia="Calibri" w:hAnsi="Calibri" w:cs="Calibri"/>
                <w:b/>
              </w:rPr>
              <w:t>Expectation</w:t>
            </w:r>
          </w:p>
        </w:tc>
      </w:tr>
      <w:tr w:rsidR="00785A94" w14:paraId="3819050A" w14:textId="77777777" w:rsidTr="00D64A22">
        <w:trPr>
          <w:trHeight w:val="1050"/>
        </w:trPr>
        <w:tc>
          <w:tcPr>
            <w:tcW w:w="1590" w:type="dxa"/>
            <w:shd w:val="clear" w:color="auto" w:fill="F3F3F3"/>
            <w:tcMar>
              <w:top w:w="100" w:type="dxa"/>
              <w:left w:w="100" w:type="dxa"/>
              <w:bottom w:w="100" w:type="dxa"/>
              <w:right w:w="100" w:type="dxa"/>
            </w:tcMar>
          </w:tcPr>
          <w:p w14:paraId="35BC6721" w14:textId="77777777" w:rsidR="00785A94" w:rsidRDefault="00DF7EC8">
            <w:pPr>
              <w:widowControl w:val="0"/>
              <w:pBdr>
                <w:top w:val="nil"/>
                <w:left w:val="nil"/>
                <w:bottom w:val="nil"/>
                <w:right w:val="nil"/>
                <w:between w:val="nil"/>
              </w:pBdr>
              <w:spacing w:line="240" w:lineRule="auto"/>
              <w:ind w:left="127"/>
              <w:rPr>
                <w:rFonts w:ascii="Calibri" w:eastAsia="Calibri" w:hAnsi="Calibri" w:cs="Calibri"/>
                <w:b/>
                <w:color w:val="000000"/>
              </w:rPr>
            </w:pPr>
            <w:r>
              <w:rPr>
                <w:rFonts w:ascii="Calibri" w:eastAsia="Calibri" w:hAnsi="Calibri" w:cs="Calibri"/>
                <w:b/>
                <w:color w:val="000000"/>
              </w:rPr>
              <w:t xml:space="preserve">Based on Community Need </w:t>
            </w:r>
          </w:p>
        </w:tc>
        <w:tc>
          <w:tcPr>
            <w:tcW w:w="7770" w:type="dxa"/>
            <w:shd w:val="clear" w:color="auto" w:fill="auto"/>
            <w:tcMar>
              <w:top w:w="100" w:type="dxa"/>
              <w:left w:w="100" w:type="dxa"/>
              <w:bottom w:w="100" w:type="dxa"/>
              <w:right w:w="100" w:type="dxa"/>
            </w:tcMar>
          </w:tcPr>
          <w:p w14:paraId="17CD3FE5" w14:textId="77777777" w:rsidR="00785A94" w:rsidRDefault="00DF7EC8">
            <w:pPr>
              <w:spacing w:line="240" w:lineRule="auto"/>
              <w:rPr>
                <w:rFonts w:ascii="Calibri" w:eastAsia="Calibri" w:hAnsi="Calibri" w:cs="Calibri"/>
              </w:rPr>
            </w:pPr>
            <w:r>
              <w:rPr>
                <w:rFonts w:ascii="Calibri" w:eastAsia="Calibri" w:hAnsi="Calibri" w:cs="Calibri"/>
              </w:rPr>
              <w:t xml:space="preserve">Program goals and professional development </w:t>
            </w:r>
            <w:proofErr w:type="gramStart"/>
            <w:r>
              <w:rPr>
                <w:rFonts w:ascii="Calibri" w:eastAsia="Calibri" w:hAnsi="Calibri" w:cs="Calibri"/>
              </w:rPr>
              <w:t>are linked</w:t>
            </w:r>
            <w:proofErr w:type="gramEnd"/>
            <w:r>
              <w:rPr>
                <w:rFonts w:ascii="Calibri" w:eastAsia="Calibri" w:hAnsi="Calibri" w:cs="Calibri"/>
              </w:rPr>
              <w:t xml:space="preserve"> to local and regional needs assessments that include labor market information and the voices of historically and currently underserved populations within the community.</w:t>
            </w:r>
          </w:p>
        </w:tc>
      </w:tr>
      <w:tr w:rsidR="00785A94" w14:paraId="6673296C" w14:textId="77777777" w:rsidTr="00D64A22">
        <w:trPr>
          <w:trHeight w:val="895"/>
        </w:trPr>
        <w:tc>
          <w:tcPr>
            <w:tcW w:w="1590" w:type="dxa"/>
            <w:shd w:val="clear" w:color="auto" w:fill="F3F3F3"/>
            <w:tcMar>
              <w:top w:w="100" w:type="dxa"/>
              <w:left w:w="100" w:type="dxa"/>
              <w:bottom w:w="100" w:type="dxa"/>
              <w:right w:w="100" w:type="dxa"/>
            </w:tcMar>
          </w:tcPr>
          <w:p w14:paraId="32E32A19" w14:textId="77777777" w:rsidR="00785A94" w:rsidRDefault="00DF7EC8">
            <w:pPr>
              <w:widowControl w:val="0"/>
              <w:pBdr>
                <w:top w:val="nil"/>
                <w:left w:val="nil"/>
                <w:bottom w:val="nil"/>
                <w:right w:val="nil"/>
                <w:between w:val="nil"/>
              </w:pBdr>
              <w:spacing w:line="240" w:lineRule="auto"/>
              <w:ind w:left="127"/>
              <w:rPr>
                <w:rFonts w:ascii="Calibri" w:eastAsia="Calibri" w:hAnsi="Calibri" w:cs="Calibri"/>
                <w:b/>
                <w:color w:val="000000"/>
              </w:rPr>
            </w:pPr>
            <w:r>
              <w:rPr>
                <w:rFonts w:ascii="Calibri" w:eastAsia="Calibri" w:hAnsi="Calibri" w:cs="Calibri"/>
                <w:b/>
                <w:color w:val="000000"/>
              </w:rPr>
              <w:t xml:space="preserve">Informed by Data </w:t>
            </w:r>
          </w:p>
        </w:tc>
        <w:tc>
          <w:tcPr>
            <w:tcW w:w="7770" w:type="dxa"/>
            <w:shd w:val="clear" w:color="auto" w:fill="auto"/>
            <w:tcMar>
              <w:top w:w="100" w:type="dxa"/>
              <w:left w:w="100" w:type="dxa"/>
              <w:bottom w:w="100" w:type="dxa"/>
              <w:right w:w="100" w:type="dxa"/>
            </w:tcMar>
          </w:tcPr>
          <w:p w14:paraId="4FD2D646" w14:textId="2C43ED7D" w:rsidR="00785A94" w:rsidRDefault="00DF7EC8">
            <w:pPr>
              <w:spacing w:line="240" w:lineRule="auto"/>
              <w:rPr>
                <w:rFonts w:ascii="Calibri" w:eastAsia="Calibri" w:hAnsi="Calibri" w:cs="Calibri"/>
              </w:rPr>
            </w:pPr>
            <w:r>
              <w:rPr>
                <w:rFonts w:ascii="Calibri" w:eastAsia="Calibri" w:hAnsi="Calibri" w:cs="Calibri"/>
              </w:rPr>
              <w:t xml:space="preserve">The program uses disaggregated data to inform continuous improvement, including a focus on student retention, completion, and </w:t>
            </w:r>
            <w:r w:rsidR="00D822A3">
              <w:rPr>
                <w:rFonts w:ascii="Calibri" w:eastAsia="Calibri" w:hAnsi="Calibri" w:cs="Calibri"/>
              </w:rPr>
              <w:t>w</w:t>
            </w:r>
            <w:r>
              <w:rPr>
                <w:rFonts w:ascii="Calibri" w:eastAsia="Calibri" w:hAnsi="Calibri" w:cs="Calibri"/>
              </w:rPr>
              <w:t>ork-</w:t>
            </w:r>
            <w:r w:rsidR="00D822A3">
              <w:rPr>
                <w:rFonts w:ascii="Calibri" w:eastAsia="Calibri" w:hAnsi="Calibri" w:cs="Calibri"/>
              </w:rPr>
              <w:t>b</w:t>
            </w:r>
            <w:r>
              <w:rPr>
                <w:rFonts w:ascii="Calibri" w:eastAsia="Calibri" w:hAnsi="Calibri" w:cs="Calibri"/>
              </w:rPr>
              <w:t xml:space="preserve">ased </w:t>
            </w:r>
            <w:r w:rsidR="00D822A3">
              <w:rPr>
                <w:rFonts w:ascii="Calibri" w:eastAsia="Calibri" w:hAnsi="Calibri" w:cs="Calibri"/>
              </w:rPr>
              <w:t>l</w:t>
            </w:r>
            <w:r>
              <w:rPr>
                <w:rFonts w:ascii="Calibri" w:eastAsia="Calibri" w:hAnsi="Calibri" w:cs="Calibri"/>
              </w:rPr>
              <w:t>earning participation, particularly for special/focal student populations.</w:t>
            </w:r>
          </w:p>
        </w:tc>
      </w:tr>
      <w:tr w:rsidR="00785A94" w14:paraId="7A19D4A3" w14:textId="77777777" w:rsidTr="00D64A22">
        <w:trPr>
          <w:trHeight w:val="1432"/>
        </w:trPr>
        <w:tc>
          <w:tcPr>
            <w:tcW w:w="1590" w:type="dxa"/>
            <w:shd w:val="clear" w:color="auto" w:fill="F3F3F3"/>
            <w:tcMar>
              <w:top w:w="100" w:type="dxa"/>
              <w:left w:w="100" w:type="dxa"/>
              <w:bottom w:w="100" w:type="dxa"/>
              <w:right w:w="100" w:type="dxa"/>
            </w:tcMar>
          </w:tcPr>
          <w:p w14:paraId="6B0906F3" w14:textId="77777777" w:rsidR="00785A94" w:rsidRDefault="00DF7EC8">
            <w:pPr>
              <w:widowControl w:val="0"/>
              <w:pBdr>
                <w:top w:val="nil"/>
                <w:left w:val="nil"/>
                <w:bottom w:val="nil"/>
                <w:right w:val="nil"/>
                <w:between w:val="nil"/>
              </w:pBdr>
              <w:spacing w:line="240" w:lineRule="auto"/>
              <w:ind w:left="119"/>
              <w:rPr>
                <w:rFonts w:ascii="Calibri" w:eastAsia="Calibri" w:hAnsi="Calibri" w:cs="Calibri"/>
                <w:b/>
                <w:color w:val="000000"/>
              </w:rPr>
            </w:pPr>
            <w:r>
              <w:rPr>
                <w:rFonts w:ascii="Calibri" w:eastAsia="Calibri" w:hAnsi="Calibri" w:cs="Calibri"/>
                <w:b/>
                <w:color w:val="000000"/>
              </w:rPr>
              <w:t xml:space="preserve">Student Engagement </w:t>
            </w:r>
          </w:p>
        </w:tc>
        <w:tc>
          <w:tcPr>
            <w:tcW w:w="7770" w:type="dxa"/>
            <w:shd w:val="clear" w:color="auto" w:fill="auto"/>
            <w:tcMar>
              <w:top w:w="100" w:type="dxa"/>
              <w:left w:w="100" w:type="dxa"/>
              <w:bottom w:w="100" w:type="dxa"/>
              <w:right w:w="100" w:type="dxa"/>
            </w:tcMar>
          </w:tcPr>
          <w:p w14:paraId="545C75A3" w14:textId="77777777" w:rsidR="00785A94" w:rsidRDefault="00DF7EC8">
            <w:pPr>
              <w:spacing w:line="240" w:lineRule="auto"/>
              <w:rPr>
                <w:rFonts w:ascii="Calibri" w:eastAsia="Calibri" w:hAnsi="Calibri" w:cs="Calibri"/>
              </w:rPr>
            </w:pPr>
            <w:r>
              <w:rPr>
                <w:rFonts w:ascii="Calibri" w:eastAsia="Calibri" w:hAnsi="Calibri" w:cs="Calibri"/>
              </w:rPr>
              <w:t xml:space="preserve">Programs use a real-world, individualized, project-based approach for instruction, fostering applied learning experiences. Assessments are reflective of the industry knowledge and skills developed through practical projects. Students </w:t>
            </w:r>
            <w:proofErr w:type="gramStart"/>
            <w:r>
              <w:rPr>
                <w:rFonts w:ascii="Calibri" w:eastAsia="Calibri" w:hAnsi="Calibri" w:cs="Calibri"/>
              </w:rPr>
              <w:t>are provided</w:t>
            </w:r>
            <w:proofErr w:type="gramEnd"/>
            <w:r>
              <w:rPr>
                <w:rFonts w:ascii="Calibri" w:eastAsia="Calibri" w:hAnsi="Calibri" w:cs="Calibri"/>
              </w:rPr>
              <w:t xml:space="preserve"> the opportunity to participate in Career and Technical Student Organizations or locally developed leadership opportunities. </w:t>
            </w:r>
          </w:p>
        </w:tc>
      </w:tr>
      <w:tr w:rsidR="00785A94" w14:paraId="129D75AF" w14:textId="77777777" w:rsidTr="00D64A22">
        <w:trPr>
          <w:trHeight w:val="896"/>
        </w:trPr>
        <w:tc>
          <w:tcPr>
            <w:tcW w:w="1590" w:type="dxa"/>
            <w:shd w:val="clear" w:color="auto" w:fill="F3F3F3"/>
            <w:tcMar>
              <w:top w:w="100" w:type="dxa"/>
              <w:left w:w="100" w:type="dxa"/>
              <w:bottom w:w="100" w:type="dxa"/>
              <w:right w:w="100" w:type="dxa"/>
            </w:tcMar>
          </w:tcPr>
          <w:p w14:paraId="4BFF7D08" w14:textId="77777777" w:rsidR="00785A94" w:rsidRDefault="00DF7EC8">
            <w:pPr>
              <w:widowControl w:val="0"/>
              <w:pBdr>
                <w:top w:val="nil"/>
                <w:left w:val="nil"/>
                <w:bottom w:val="nil"/>
                <w:right w:val="nil"/>
                <w:between w:val="nil"/>
              </w:pBdr>
              <w:spacing w:line="240" w:lineRule="auto"/>
              <w:ind w:left="121"/>
              <w:rPr>
                <w:rFonts w:ascii="Calibri" w:eastAsia="Calibri" w:hAnsi="Calibri" w:cs="Calibri"/>
                <w:b/>
                <w:color w:val="000000"/>
              </w:rPr>
            </w:pPr>
            <w:r>
              <w:rPr>
                <w:rFonts w:ascii="Calibri" w:eastAsia="Calibri" w:hAnsi="Calibri" w:cs="Calibri"/>
                <w:b/>
                <w:color w:val="000000"/>
              </w:rPr>
              <w:t xml:space="preserve">Career </w:t>
            </w:r>
            <w:r>
              <w:rPr>
                <w:rFonts w:ascii="Calibri" w:eastAsia="Calibri" w:hAnsi="Calibri" w:cs="Calibri"/>
                <w:b/>
              </w:rPr>
              <w:t>Connected Learning</w:t>
            </w:r>
          </w:p>
        </w:tc>
        <w:tc>
          <w:tcPr>
            <w:tcW w:w="7770" w:type="dxa"/>
            <w:shd w:val="clear" w:color="auto" w:fill="auto"/>
            <w:tcMar>
              <w:top w:w="100" w:type="dxa"/>
              <w:left w:w="100" w:type="dxa"/>
              <w:bottom w:w="100" w:type="dxa"/>
              <w:right w:w="100" w:type="dxa"/>
            </w:tcMar>
          </w:tcPr>
          <w:p w14:paraId="236C73A6" w14:textId="5F05784E" w:rsidR="00785A94" w:rsidRDefault="00DF7EC8">
            <w:pPr>
              <w:spacing w:line="240" w:lineRule="auto"/>
              <w:rPr>
                <w:rFonts w:ascii="Calibri" w:eastAsia="Calibri" w:hAnsi="Calibri" w:cs="Calibri"/>
              </w:rPr>
            </w:pPr>
            <w:r>
              <w:rPr>
                <w:rFonts w:ascii="Calibri" w:eastAsia="Calibri" w:hAnsi="Calibri" w:cs="Calibri"/>
              </w:rPr>
              <w:t xml:space="preserve">The program provides a sequence of </w:t>
            </w:r>
            <w:r w:rsidR="00FE308B">
              <w:rPr>
                <w:rFonts w:ascii="Calibri" w:eastAsia="Calibri" w:hAnsi="Calibri" w:cs="Calibri"/>
              </w:rPr>
              <w:t>c</w:t>
            </w:r>
            <w:r>
              <w:rPr>
                <w:rFonts w:ascii="Calibri" w:eastAsia="Calibri" w:hAnsi="Calibri" w:cs="Calibri"/>
              </w:rPr>
              <w:t xml:space="preserve">areer </w:t>
            </w:r>
            <w:r w:rsidR="00FE308B">
              <w:rPr>
                <w:rFonts w:ascii="Calibri" w:eastAsia="Calibri" w:hAnsi="Calibri" w:cs="Calibri"/>
              </w:rPr>
              <w:t>c</w:t>
            </w:r>
            <w:r>
              <w:rPr>
                <w:rFonts w:ascii="Calibri" w:eastAsia="Calibri" w:hAnsi="Calibri" w:cs="Calibri"/>
              </w:rPr>
              <w:t xml:space="preserve">onnected </w:t>
            </w:r>
            <w:r w:rsidR="00FE308B">
              <w:rPr>
                <w:rFonts w:ascii="Calibri" w:eastAsia="Calibri" w:hAnsi="Calibri" w:cs="Calibri"/>
              </w:rPr>
              <w:t>l</w:t>
            </w:r>
            <w:r>
              <w:rPr>
                <w:rFonts w:ascii="Calibri" w:eastAsia="Calibri" w:hAnsi="Calibri" w:cs="Calibri"/>
              </w:rPr>
              <w:t xml:space="preserve">earning activities that progress from career awareness and exploration to </w:t>
            </w:r>
            <w:r w:rsidR="00D822A3">
              <w:rPr>
                <w:rFonts w:ascii="Calibri" w:eastAsia="Calibri" w:hAnsi="Calibri" w:cs="Calibri"/>
              </w:rPr>
              <w:t>w</w:t>
            </w:r>
            <w:r>
              <w:rPr>
                <w:rFonts w:ascii="Calibri" w:eastAsia="Calibri" w:hAnsi="Calibri" w:cs="Calibri"/>
              </w:rPr>
              <w:t>ork-</w:t>
            </w:r>
            <w:r w:rsidR="00D822A3">
              <w:rPr>
                <w:rFonts w:ascii="Calibri" w:eastAsia="Calibri" w:hAnsi="Calibri" w:cs="Calibri"/>
              </w:rPr>
              <w:t>b</w:t>
            </w:r>
            <w:r>
              <w:rPr>
                <w:rFonts w:ascii="Calibri" w:eastAsia="Calibri" w:hAnsi="Calibri" w:cs="Calibri"/>
              </w:rPr>
              <w:t xml:space="preserve">ased </w:t>
            </w:r>
            <w:r w:rsidR="00D822A3">
              <w:rPr>
                <w:rFonts w:ascii="Calibri" w:eastAsia="Calibri" w:hAnsi="Calibri" w:cs="Calibri"/>
              </w:rPr>
              <w:t>l</w:t>
            </w:r>
            <w:r>
              <w:rPr>
                <w:rFonts w:ascii="Calibri" w:eastAsia="Calibri" w:hAnsi="Calibri" w:cs="Calibri"/>
              </w:rPr>
              <w:t xml:space="preserve">earning, providing students with the activities, information, and advising needed to inform their career development across the career area. Secondary students use their </w:t>
            </w:r>
            <w:r w:rsidR="00FE308B">
              <w:rPr>
                <w:rFonts w:ascii="Calibri" w:eastAsia="Calibri" w:hAnsi="Calibri" w:cs="Calibri"/>
              </w:rPr>
              <w:t>c</w:t>
            </w:r>
            <w:r>
              <w:rPr>
                <w:rFonts w:ascii="Calibri" w:eastAsia="Calibri" w:hAnsi="Calibri" w:cs="Calibri"/>
              </w:rPr>
              <w:t xml:space="preserve">areer </w:t>
            </w:r>
            <w:r w:rsidR="00FE308B">
              <w:rPr>
                <w:rFonts w:ascii="Calibri" w:eastAsia="Calibri" w:hAnsi="Calibri" w:cs="Calibri"/>
              </w:rPr>
              <w:t>c</w:t>
            </w:r>
            <w:r>
              <w:rPr>
                <w:rFonts w:ascii="Calibri" w:eastAsia="Calibri" w:hAnsi="Calibri" w:cs="Calibri"/>
              </w:rPr>
              <w:t xml:space="preserve">onnected </w:t>
            </w:r>
            <w:r w:rsidR="00FE308B">
              <w:rPr>
                <w:rFonts w:ascii="Calibri" w:eastAsia="Calibri" w:hAnsi="Calibri" w:cs="Calibri"/>
              </w:rPr>
              <w:t>l</w:t>
            </w:r>
            <w:r>
              <w:rPr>
                <w:rFonts w:ascii="Calibri" w:eastAsia="Calibri" w:hAnsi="Calibri" w:cs="Calibri"/>
              </w:rPr>
              <w:t>earning to inform their current Education Plan and Profile. Postsecondary students have access to career services and academic advising at their institution relevant to their chosen career path.</w:t>
            </w:r>
          </w:p>
        </w:tc>
      </w:tr>
      <w:tr w:rsidR="00785A94" w14:paraId="7508BA4C" w14:textId="77777777" w:rsidTr="00D64A22">
        <w:trPr>
          <w:trHeight w:val="896"/>
        </w:trPr>
        <w:tc>
          <w:tcPr>
            <w:tcW w:w="1590" w:type="dxa"/>
            <w:shd w:val="clear" w:color="auto" w:fill="F3F3F3"/>
            <w:tcMar>
              <w:top w:w="100" w:type="dxa"/>
              <w:left w:w="100" w:type="dxa"/>
              <w:bottom w:w="100" w:type="dxa"/>
              <w:right w:w="100" w:type="dxa"/>
            </w:tcMar>
          </w:tcPr>
          <w:p w14:paraId="3DB86DE7" w14:textId="77777777" w:rsidR="00785A94" w:rsidRDefault="00DF7EC8">
            <w:pPr>
              <w:widowControl w:val="0"/>
              <w:spacing w:line="240" w:lineRule="auto"/>
              <w:ind w:left="121"/>
              <w:rPr>
                <w:rFonts w:ascii="Calibri" w:eastAsia="Calibri" w:hAnsi="Calibri" w:cs="Calibri"/>
                <w:b/>
              </w:rPr>
            </w:pPr>
            <w:r>
              <w:rPr>
                <w:rFonts w:ascii="Calibri" w:eastAsia="Calibri" w:hAnsi="Calibri" w:cs="Calibri"/>
                <w:b/>
              </w:rPr>
              <w:lastRenderedPageBreak/>
              <w:t>CTE Advisory Committee</w:t>
            </w:r>
          </w:p>
        </w:tc>
        <w:tc>
          <w:tcPr>
            <w:tcW w:w="7770" w:type="dxa"/>
            <w:shd w:val="clear" w:color="auto" w:fill="auto"/>
            <w:tcMar>
              <w:top w:w="100" w:type="dxa"/>
              <w:left w:w="100" w:type="dxa"/>
              <w:bottom w:w="100" w:type="dxa"/>
              <w:right w:w="100" w:type="dxa"/>
            </w:tcMar>
          </w:tcPr>
          <w:p w14:paraId="675CFAA7" w14:textId="2959A8A4" w:rsidR="00785A94" w:rsidRDefault="00DF7EC8">
            <w:pPr>
              <w:spacing w:line="240" w:lineRule="auto"/>
              <w:rPr>
                <w:rFonts w:ascii="Calibri" w:eastAsia="Calibri" w:hAnsi="Calibri" w:cs="Calibri"/>
              </w:rPr>
            </w:pPr>
            <w:r>
              <w:rPr>
                <w:rFonts w:ascii="Calibri" w:eastAsia="Calibri" w:hAnsi="Calibri" w:cs="Calibri"/>
              </w:rPr>
              <w:t xml:space="preserve">Secondary and postsecondary components regularly engage with a CTE </w:t>
            </w:r>
            <w:r w:rsidR="00810FA9">
              <w:rPr>
                <w:rFonts w:ascii="Calibri" w:eastAsia="Calibri" w:hAnsi="Calibri" w:cs="Calibri"/>
              </w:rPr>
              <w:t>a</w:t>
            </w:r>
            <w:r>
              <w:rPr>
                <w:rFonts w:ascii="Calibri" w:eastAsia="Calibri" w:hAnsi="Calibri" w:cs="Calibri"/>
              </w:rPr>
              <w:t xml:space="preserve">dvisory </w:t>
            </w:r>
            <w:r w:rsidR="00810FA9">
              <w:rPr>
                <w:rFonts w:ascii="Calibri" w:eastAsia="Calibri" w:hAnsi="Calibri" w:cs="Calibri"/>
              </w:rPr>
              <w:t>c</w:t>
            </w:r>
            <w:r>
              <w:rPr>
                <w:rFonts w:ascii="Calibri" w:eastAsia="Calibri" w:hAnsi="Calibri" w:cs="Calibri"/>
              </w:rPr>
              <w:t>ommittee</w:t>
            </w:r>
            <w:r>
              <w:rPr>
                <w:rFonts w:ascii="Calibri" w:eastAsia="Calibri" w:hAnsi="Calibri" w:cs="Calibri"/>
                <w:vertAlign w:val="superscript"/>
              </w:rPr>
              <w:footnoteReference w:id="3"/>
            </w:r>
            <w:r>
              <w:rPr>
                <w:rFonts w:ascii="Calibri" w:eastAsia="Calibri" w:hAnsi="Calibri" w:cs="Calibri"/>
              </w:rPr>
              <w:t xml:space="preserve"> that provides input, guidance, and assistance in the design, development, implementation, evaluation, and continuous improvement of the program, ensuring it is providing relevant, industry-based instruction and meeting the size, scope, and quality expectations for a CTE Program of Study.</w:t>
            </w:r>
          </w:p>
        </w:tc>
      </w:tr>
      <w:tr w:rsidR="00785A94" w14:paraId="7AFA9D0A" w14:textId="77777777" w:rsidTr="00D64A22">
        <w:trPr>
          <w:trHeight w:val="735"/>
        </w:trPr>
        <w:tc>
          <w:tcPr>
            <w:tcW w:w="1590" w:type="dxa"/>
            <w:shd w:val="clear" w:color="auto" w:fill="F3F3F3"/>
            <w:tcMar>
              <w:top w:w="100" w:type="dxa"/>
              <w:left w:w="100" w:type="dxa"/>
              <w:bottom w:w="100" w:type="dxa"/>
              <w:right w:w="100" w:type="dxa"/>
            </w:tcMar>
          </w:tcPr>
          <w:p w14:paraId="6ADFE972" w14:textId="77777777" w:rsidR="00785A94" w:rsidRDefault="00DF7EC8">
            <w:pPr>
              <w:widowControl w:val="0"/>
              <w:spacing w:line="240" w:lineRule="auto"/>
              <w:ind w:left="121"/>
              <w:rPr>
                <w:rFonts w:ascii="Calibri" w:eastAsia="Calibri" w:hAnsi="Calibri" w:cs="Calibri"/>
                <w:b/>
              </w:rPr>
            </w:pPr>
            <w:r>
              <w:rPr>
                <w:rFonts w:ascii="Calibri" w:eastAsia="Calibri" w:hAnsi="Calibri" w:cs="Calibri"/>
                <w:b/>
              </w:rPr>
              <w:t xml:space="preserve">Staff Qualifications </w:t>
            </w:r>
          </w:p>
        </w:tc>
        <w:tc>
          <w:tcPr>
            <w:tcW w:w="7770" w:type="dxa"/>
            <w:shd w:val="clear" w:color="auto" w:fill="auto"/>
            <w:tcMar>
              <w:top w:w="100" w:type="dxa"/>
              <w:left w:w="100" w:type="dxa"/>
              <w:bottom w:w="100" w:type="dxa"/>
              <w:right w:w="100" w:type="dxa"/>
            </w:tcMar>
          </w:tcPr>
          <w:p w14:paraId="2B0BB3B9" w14:textId="77777777" w:rsidR="00785A94" w:rsidRDefault="00DF7EC8">
            <w:pPr>
              <w:spacing w:line="240" w:lineRule="auto"/>
              <w:rPr>
                <w:rFonts w:ascii="Calibri" w:eastAsia="Calibri" w:hAnsi="Calibri" w:cs="Calibri"/>
              </w:rPr>
            </w:pPr>
            <w:r>
              <w:rPr>
                <w:rFonts w:ascii="Calibri" w:eastAsia="Calibri" w:hAnsi="Calibri" w:cs="Calibri"/>
              </w:rPr>
              <w:t>The full program includes appropriately licensed secondary teachers and postsecondary instructors who meet applicable state and institution requirements.</w:t>
            </w:r>
          </w:p>
        </w:tc>
      </w:tr>
    </w:tbl>
    <w:p w14:paraId="7B678ADB" w14:textId="77777777" w:rsidR="00785A94" w:rsidRDefault="00785A94">
      <w:pPr>
        <w:widowControl w:val="0"/>
        <w:pBdr>
          <w:top w:val="nil"/>
          <w:left w:val="nil"/>
          <w:bottom w:val="nil"/>
          <w:right w:val="nil"/>
          <w:between w:val="nil"/>
        </w:pBdr>
        <w:spacing w:line="240" w:lineRule="auto"/>
        <w:ind w:right="30"/>
        <w:rPr>
          <w:b/>
          <w:color w:val="2F5496"/>
          <w:sz w:val="21"/>
          <w:szCs w:val="21"/>
        </w:rPr>
      </w:pPr>
    </w:p>
    <w:sectPr w:rsidR="00785A94">
      <w:footerReference w:type="default" r:id="rId9"/>
      <w:pgSz w:w="12240" w:h="15840"/>
      <w:pgMar w:top="1424" w:right="1410" w:bottom="76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E680" w14:textId="77777777" w:rsidR="00DF7EC8" w:rsidRDefault="00DF7EC8">
      <w:pPr>
        <w:spacing w:line="240" w:lineRule="auto"/>
      </w:pPr>
      <w:r>
        <w:separator/>
      </w:r>
    </w:p>
  </w:endnote>
  <w:endnote w:type="continuationSeparator" w:id="0">
    <w:p w14:paraId="0502B98E" w14:textId="77777777" w:rsidR="00DF7EC8" w:rsidRDefault="00DF7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6E85" w14:textId="77777777" w:rsidR="00785A94" w:rsidRDefault="00DF7EC8">
    <w:pPr>
      <w:jc w:val="right"/>
    </w:pPr>
    <w:r>
      <w:fldChar w:fldCharType="begin"/>
    </w:r>
    <w:r>
      <w:instrText>PAGE</w:instrText>
    </w:r>
    <w:r>
      <w:fldChar w:fldCharType="separate"/>
    </w:r>
    <w:r w:rsidR="00D64A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E5C4" w14:textId="77777777" w:rsidR="00DF7EC8" w:rsidRDefault="00DF7EC8">
      <w:pPr>
        <w:spacing w:line="240" w:lineRule="auto"/>
      </w:pPr>
      <w:r>
        <w:separator/>
      </w:r>
    </w:p>
  </w:footnote>
  <w:footnote w:type="continuationSeparator" w:id="0">
    <w:p w14:paraId="457EE0AB" w14:textId="77777777" w:rsidR="00DF7EC8" w:rsidRDefault="00DF7EC8">
      <w:pPr>
        <w:spacing w:line="240" w:lineRule="auto"/>
      </w:pPr>
      <w:r>
        <w:continuationSeparator/>
      </w:r>
    </w:p>
  </w:footnote>
  <w:footnote w:id="1">
    <w:p w14:paraId="3DBF19B8" w14:textId="2CB6BEAF" w:rsidR="00785A94" w:rsidRPr="00DF7EC8" w:rsidRDefault="00DF7EC8">
      <w:pPr>
        <w:spacing w:line="240" w:lineRule="auto"/>
        <w:rPr>
          <w:rFonts w:asciiTheme="majorHAnsi" w:eastAsia="Calibri" w:hAnsiTheme="majorHAnsi" w:cstheme="majorHAnsi"/>
          <w:sz w:val="20"/>
          <w:szCs w:val="20"/>
        </w:rPr>
      </w:pPr>
      <w:r w:rsidRPr="00DF7EC8">
        <w:rPr>
          <w:rFonts w:asciiTheme="majorHAnsi" w:hAnsiTheme="majorHAnsi" w:cstheme="majorHAnsi"/>
          <w:vertAlign w:val="superscript"/>
        </w:rPr>
        <w:footnoteRef/>
      </w:r>
      <w:r w:rsidRPr="00DF7EC8">
        <w:rPr>
          <w:rFonts w:asciiTheme="majorHAnsi" w:hAnsiTheme="majorHAnsi" w:cstheme="majorHAnsi"/>
          <w:sz w:val="20"/>
          <w:szCs w:val="20"/>
        </w:rPr>
        <w:t xml:space="preserve"> </w:t>
      </w:r>
      <w:r w:rsidRPr="00DF7EC8">
        <w:rPr>
          <w:rFonts w:asciiTheme="majorHAnsi" w:eastAsia="Calibri" w:hAnsiTheme="majorHAnsi" w:cstheme="majorHAnsi"/>
          <w:i/>
          <w:sz w:val="20"/>
          <w:szCs w:val="20"/>
        </w:rPr>
        <w:t xml:space="preserve">A </w:t>
      </w:r>
      <w:r w:rsidRPr="00DF7EC8">
        <w:rPr>
          <w:rFonts w:asciiTheme="majorHAnsi" w:eastAsia="Calibri" w:hAnsiTheme="majorHAnsi" w:cstheme="majorHAnsi"/>
          <w:b/>
          <w:i/>
          <w:sz w:val="20"/>
          <w:szCs w:val="20"/>
        </w:rPr>
        <w:t>secondary CTE concentrator</w:t>
      </w:r>
      <w:r w:rsidRPr="00DF7EC8">
        <w:rPr>
          <w:rFonts w:asciiTheme="majorHAnsi" w:eastAsia="Calibri" w:hAnsiTheme="majorHAnsi" w:cstheme="majorHAnsi"/>
          <w:i/>
          <w:sz w:val="20"/>
          <w:szCs w:val="20"/>
        </w:rPr>
        <w:t xml:space="preserve"> is a student who earns at least two year-long credits or equivalent in a single CTE Program of Study. At least one of those credits must </w:t>
      </w:r>
      <w:proofErr w:type="gramStart"/>
      <w:r w:rsidRPr="00DF7EC8">
        <w:rPr>
          <w:rFonts w:asciiTheme="majorHAnsi" w:eastAsia="Calibri" w:hAnsiTheme="majorHAnsi" w:cstheme="majorHAnsi"/>
          <w:i/>
          <w:sz w:val="20"/>
          <w:szCs w:val="20"/>
        </w:rPr>
        <w:t>be earned</w:t>
      </w:r>
      <w:proofErr w:type="gramEnd"/>
      <w:r w:rsidRPr="00DF7EC8">
        <w:rPr>
          <w:rFonts w:asciiTheme="majorHAnsi" w:eastAsia="Calibri" w:hAnsiTheme="majorHAnsi" w:cstheme="majorHAnsi"/>
          <w:i/>
          <w:sz w:val="20"/>
          <w:szCs w:val="20"/>
        </w:rPr>
        <w:t xml:space="preserve"> through a course or courses identified as intermediate or advanced. A </w:t>
      </w:r>
      <w:r w:rsidRPr="00DF7EC8">
        <w:rPr>
          <w:rFonts w:asciiTheme="majorHAnsi" w:eastAsia="Calibri" w:hAnsiTheme="majorHAnsi" w:cstheme="majorHAnsi"/>
          <w:b/>
          <w:i/>
          <w:sz w:val="20"/>
          <w:szCs w:val="20"/>
        </w:rPr>
        <w:t>postsecondary CTE concentrator</w:t>
      </w:r>
      <w:r w:rsidRPr="00DF7EC8">
        <w:rPr>
          <w:rFonts w:asciiTheme="majorHAnsi" w:eastAsia="Calibri" w:hAnsiTheme="majorHAnsi" w:cstheme="majorHAnsi"/>
          <w:i/>
          <w:sz w:val="20"/>
          <w:szCs w:val="20"/>
        </w:rPr>
        <w:t xml:space="preserve"> is a student who has earned at least </w:t>
      </w:r>
      <w:proofErr w:type="gramStart"/>
      <w:r w:rsidRPr="00DF7EC8">
        <w:rPr>
          <w:rFonts w:asciiTheme="majorHAnsi" w:eastAsia="Calibri" w:hAnsiTheme="majorHAnsi" w:cstheme="majorHAnsi"/>
          <w:i/>
          <w:sz w:val="20"/>
          <w:szCs w:val="20"/>
        </w:rPr>
        <w:t>12</w:t>
      </w:r>
      <w:proofErr w:type="gramEnd"/>
      <w:r w:rsidRPr="00DF7EC8">
        <w:rPr>
          <w:rFonts w:asciiTheme="majorHAnsi" w:eastAsia="Calibri" w:hAnsiTheme="majorHAnsi" w:cstheme="majorHAnsi"/>
          <w:i/>
          <w:sz w:val="20"/>
          <w:szCs w:val="20"/>
        </w:rPr>
        <w:t xml:space="preserve"> quarter credits or equivalent, of which nine program credits are CTE</w:t>
      </w:r>
      <w:r w:rsidR="007A3A11">
        <w:rPr>
          <w:rFonts w:asciiTheme="majorHAnsi" w:eastAsia="Calibri" w:hAnsiTheme="majorHAnsi" w:cstheme="majorHAnsi"/>
          <w:i/>
          <w:sz w:val="20"/>
          <w:szCs w:val="20"/>
        </w:rPr>
        <w:t>-</w:t>
      </w:r>
      <w:r w:rsidRPr="00DF7EC8">
        <w:rPr>
          <w:rFonts w:asciiTheme="majorHAnsi" w:eastAsia="Calibri" w:hAnsiTheme="majorHAnsi" w:cstheme="majorHAnsi"/>
          <w:i/>
          <w:sz w:val="20"/>
          <w:szCs w:val="20"/>
        </w:rPr>
        <w:t>specific, within a CTE program or Program of Study.</w:t>
      </w:r>
    </w:p>
  </w:footnote>
  <w:footnote w:id="2">
    <w:p w14:paraId="674A788A" w14:textId="77777777" w:rsidR="00785A94" w:rsidRDefault="00DF7EC8">
      <w:pPr>
        <w:spacing w:line="240" w:lineRule="auto"/>
        <w:rPr>
          <w:rFonts w:ascii="Calibri" w:eastAsia="Calibri" w:hAnsi="Calibri" w:cs="Calibri"/>
          <w:sz w:val="20"/>
          <w:szCs w:val="20"/>
        </w:rPr>
      </w:pPr>
      <w:r w:rsidRPr="00DF7EC8">
        <w:rPr>
          <w:rFonts w:asciiTheme="majorHAnsi" w:hAnsiTheme="majorHAnsi" w:cstheme="majorHAnsi"/>
          <w:vertAlign w:val="superscript"/>
        </w:rPr>
        <w:footnoteRef/>
      </w:r>
      <w:r w:rsidRPr="00DF7EC8">
        <w:rPr>
          <w:rFonts w:asciiTheme="majorHAnsi" w:eastAsia="Calibri" w:hAnsiTheme="majorHAnsi" w:cstheme="majorHAnsi"/>
          <w:b/>
          <w:sz w:val="20"/>
          <w:szCs w:val="20"/>
        </w:rPr>
        <w:t>CTE completer:</w:t>
      </w:r>
      <w:r w:rsidRPr="00DF7EC8">
        <w:rPr>
          <w:rFonts w:asciiTheme="majorHAnsi" w:eastAsia="Calibri" w:hAnsiTheme="majorHAnsi" w:cstheme="majorHAnsi"/>
          <w:sz w:val="20"/>
          <w:szCs w:val="20"/>
        </w:rPr>
        <w:t xml:space="preserve">  A Secondary CTE Completer is a student who has earned three secondary credits in a single CTE Program of Study, with at least 0.5 of those credits in an advanced course, and who has a reported CTE WBL experience in that Program.</w:t>
      </w:r>
      <w:r>
        <w:rPr>
          <w:rFonts w:ascii="Calibri" w:eastAsia="Calibri" w:hAnsi="Calibri" w:cs="Calibri"/>
          <w:sz w:val="20"/>
          <w:szCs w:val="20"/>
        </w:rPr>
        <w:t xml:space="preserve"> </w:t>
      </w:r>
    </w:p>
  </w:footnote>
  <w:footnote w:id="3">
    <w:p w14:paraId="2EFF3806" w14:textId="77777777" w:rsidR="00785A94" w:rsidRPr="00DF7EC8" w:rsidRDefault="00DF7EC8">
      <w:pPr>
        <w:spacing w:line="240" w:lineRule="auto"/>
        <w:rPr>
          <w:rFonts w:asciiTheme="majorHAnsi" w:hAnsiTheme="majorHAnsi" w:cstheme="majorHAnsi"/>
          <w:sz w:val="20"/>
          <w:szCs w:val="20"/>
        </w:rPr>
      </w:pPr>
      <w:r w:rsidRPr="00DF7EC8">
        <w:rPr>
          <w:rFonts w:asciiTheme="majorHAnsi" w:hAnsiTheme="majorHAnsi" w:cstheme="majorHAnsi"/>
          <w:vertAlign w:val="superscript"/>
        </w:rPr>
        <w:footnoteRef/>
      </w:r>
      <w:r w:rsidRPr="00DF7EC8">
        <w:rPr>
          <w:rFonts w:asciiTheme="majorHAnsi" w:hAnsiTheme="majorHAnsi" w:cstheme="majorHAnsi"/>
          <w:sz w:val="20"/>
          <w:szCs w:val="20"/>
        </w:rPr>
        <w:t xml:space="preserve"> A group of individuals whose experiences and abilities represent a cross-section of an occupational area. At least 60% of the members of the committee are from business, industry, and labor organizations.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A94"/>
    <w:rsid w:val="00785A94"/>
    <w:rsid w:val="007A3A11"/>
    <w:rsid w:val="00810FA9"/>
    <w:rsid w:val="00BA31D7"/>
    <w:rsid w:val="00D64A22"/>
    <w:rsid w:val="00D822A3"/>
    <w:rsid w:val="00DF7EC8"/>
    <w:rsid w:val="00FE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F48D"/>
  <w15:docId w15:val="{7989E742-1E86-423B-BFFE-7E71E036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regon.gov/ode/learning-options/cte/resources/pages/cte-oregon-skill-sets.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regon.gov/ode/learning-options/CTE/resources/Documents/High%20Quality%20Programs%20of%20Study%20Rubric.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99X4yE/NprEaLxJRVyFV/sdSQ==">CgMxLjAyCGguZ2pkZ3hzOAByITFFb1NocVhNd0lTb3NyX0ZBM0JYNGlzalJGU1k3b1Q3Mg==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2024-05-09T17:55:28+00:00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E69052B-912C-4765-AF13-6BD584371DD3}"/>
</file>

<file path=customXml/itemProps3.xml><?xml version="1.0" encoding="utf-8"?>
<ds:datastoreItem xmlns:ds="http://schemas.openxmlformats.org/officeDocument/2006/customXml" ds:itemID="{27E9C9D8-6844-4B4B-B258-7DC8D7619ED9}"/>
</file>

<file path=customXml/itemProps4.xml><?xml version="1.0" encoding="utf-8"?>
<ds:datastoreItem xmlns:ds="http://schemas.openxmlformats.org/officeDocument/2006/customXml" ds:itemID="{612D9F30-0EE9-45E1-A8BF-81CE967A0349}"/>
</file>

<file path=docProps/app.xml><?xml version="1.0" encoding="utf-8"?>
<Properties xmlns="http://schemas.openxmlformats.org/officeDocument/2006/extended-properties" xmlns:vt="http://schemas.openxmlformats.org/officeDocument/2006/docPropsVTypes">
  <Template>Normal</Template>
  <TotalTime>16</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CATTERALL Linda * ODE</dc:creator>
  <cp:lastModifiedBy>CATTERALL Linda * ODE</cp:lastModifiedBy>
  <cp:revision>7</cp:revision>
  <dcterms:created xsi:type="dcterms:W3CDTF">2024-02-13T19:17:00Z</dcterms:created>
  <dcterms:modified xsi:type="dcterms:W3CDTF">2024-05-09T17:41:00Z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2024-02-13T19:16:39Z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8df7d09e-bcb1-495e-aabd-a48bc99ea1d5</vt:lpwstr>
  </property>
  <property fmtid="{D5CDD505-2E9C-101B-9397-08002B2CF9AE}" pid="8" name="MSIP_Label_7730ea53-6f5e-4160-81a5-992a9105450a_ContentBits">
    <vt:lpwstr>0</vt:lpwstr>
  </property>
  <property fmtid="{D5CDD505-2E9C-101B-9397-08002B2CF9AE}" pid="9" name="ContentTypeId">
    <vt:lpwstr>0x010100370A246D552C07439E8981692F46C31B</vt:lpwstr>
  </property>
</Properties>
</file>