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EE" w:rsidRPr="00FA563E" w:rsidRDefault="00DB76EE" w:rsidP="008773D3">
      <w:pPr>
        <w:pStyle w:val="Indent"/>
        <w:pBdr>
          <w:top w:val="triple" w:sz="4" w:space="10" w:color="auto"/>
          <w:left w:val="triple" w:sz="4" w:space="4" w:color="auto"/>
          <w:bottom w:val="triple" w:sz="4" w:space="8" w:color="auto"/>
          <w:right w:val="triple" w:sz="4" w:space="4" w:color="auto"/>
        </w:pBdr>
        <w:shd w:val="clear" w:color="auto" w:fill="E6E6E6"/>
        <w:tabs>
          <w:tab w:val="left" w:pos="4680"/>
        </w:tabs>
        <w:spacing w:before="60"/>
        <w:jc w:val="center"/>
        <w:rPr>
          <w:rFonts w:asciiTheme="minorHAnsi" w:hAnsiTheme="minorHAnsi" w:cs="Arial"/>
          <w:b/>
          <w:sz w:val="24"/>
          <w:szCs w:val="24"/>
        </w:rPr>
      </w:pPr>
      <w:r w:rsidRPr="00FA563E">
        <w:rPr>
          <w:rFonts w:asciiTheme="minorHAnsi" w:hAnsiTheme="minorHAnsi" w:cs="Arial"/>
          <w:b/>
          <w:sz w:val="24"/>
          <w:szCs w:val="24"/>
        </w:rPr>
        <w:t>STATE BOARD OF EDUCATION – TOPIC SUMMARY</w:t>
      </w:r>
    </w:p>
    <w:p w:rsidR="00DB76EE" w:rsidRPr="00FA563E" w:rsidRDefault="00DB76EE" w:rsidP="008773D3">
      <w:pPr>
        <w:pStyle w:val="Indent"/>
        <w:pBdr>
          <w:top w:val="triple" w:sz="4" w:space="10" w:color="auto"/>
          <w:left w:val="triple" w:sz="4" w:space="4" w:color="auto"/>
          <w:bottom w:val="triple" w:sz="4" w:space="8" w:color="auto"/>
          <w:right w:val="triple" w:sz="4" w:space="4" w:color="auto"/>
        </w:pBdr>
        <w:shd w:val="clear" w:color="auto" w:fill="E6E6E6"/>
        <w:tabs>
          <w:tab w:val="left" w:pos="4680"/>
        </w:tabs>
        <w:spacing w:before="60"/>
        <w:ind w:left="547" w:hanging="547"/>
        <w:rPr>
          <w:rFonts w:asciiTheme="minorHAnsi" w:hAnsiTheme="minorHAnsi" w:cs="Arial"/>
          <w:sz w:val="24"/>
          <w:szCs w:val="24"/>
        </w:rPr>
      </w:pPr>
      <w:r w:rsidRPr="00FA563E">
        <w:rPr>
          <w:rFonts w:asciiTheme="minorHAnsi" w:hAnsiTheme="minorHAnsi" w:cs="Arial"/>
          <w:b/>
          <w:sz w:val="24"/>
          <w:szCs w:val="24"/>
        </w:rPr>
        <w:t>Topic:</w:t>
      </w:r>
      <w:r w:rsidRPr="00FA563E">
        <w:rPr>
          <w:rFonts w:asciiTheme="minorHAnsi" w:hAnsiTheme="minorHAnsi" w:cs="Arial"/>
          <w:sz w:val="24"/>
          <w:szCs w:val="24"/>
        </w:rPr>
        <w:t xml:space="preserve"> </w:t>
      </w:r>
      <w:r w:rsidR="00C9261C" w:rsidRPr="00FA563E">
        <w:rPr>
          <w:rFonts w:asciiTheme="minorHAnsi" w:hAnsiTheme="minorHAnsi" w:cs="Arial"/>
          <w:sz w:val="24"/>
          <w:szCs w:val="24"/>
        </w:rPr>
        <w:t xml:space="preserve"> </w:t>
      </w:r>
      <w:r w:rsidR="008C3F41" w:rsidRPr="00FA563E">
        <w:rPr>
          <w:rFonts w:asciiTheme="minorHAnsi" w:hAnsiTheme="minorHAnsi" w:cs="Arial"/>
          <w:sz w:val="24"/>
          <w:szCs w:val="24"/>
        </w:rPr>
        <w:t xml:space="preserve"> </w:t>
      </w:r>
      <w:r w:rsidR="00FA563E" w:rsidRPr="00FA563E">
        <w:rPr>
          <w:rFonts w:asciiTheme="minorHAnsi" w:hAnsiTheme="minorHAnsi" w:cs="Arial"/>
          <w:sz w:val="24"/>
          <w:szCs w:val="24"/>
        </w:rPr>
        <w:t>CCWD</w:t>
      </w:r>
      <w:r w:rsidR="00296CF0" w:rsidRPr="00FA563E">
        <w:rPr>
          <w:rFonts w:asciiTheme="minorHAnsi" w:hAnsiTheme="minorHAnsi" w:cs="Arial"/>
          <w:sz w:val="24"/>
          <w:szCs w:val="24"/>
        </w:rPr>
        <w:t xml:space="preserve"> </w:t>
      </w:r>
      <w:r w:rsidR="00706E02" w:rsidRPr="00FA563E">
        <w:rPr>
          <w:rFonts w:asciiTheme="minorHAnsi" w:hAnsiTheme="minorHAnsi" w:cs="Arial"/>
          <w:sz w:val="24"/>
          <w:szCs w:val="24"/>
        </w:rPr>
        <w:t>Legislative Update</w:t>
      </w:r>
    </w:p>
    <w:p w:rsidR="00DA1BED" w:rsidRPr="00FA563E" w:rsidRDefault="00DA1BED" w:rsidP="008773D3">
      <w:pPr>
        <w:pStyle w:val="Indent"/>
        <w:pBdr>
          <w:top w:val="triple" w:sz="4" w:space="10" w:color="auto"/>
          <w:left w:val="triple" w:sz="4" w:space="4" w:color="auto"/>
          <w:bottom w:val="triple" w:sz="4" w:space="8" w:color="auto"/>
          <w:right w:val="triple" w:sz="4" w:space="4" w:color="auto"/>
        </w:pBdr>
        <w:shd w:val="clear" w:color="auto" w:fill="E6E6E6"/>
        <w:tabs>
          <w:tab w:val="left" w:pos="4680"/>
        </w:tabs>
        <w:spacing w:before="60"/>
        <w:ind w:left="547" w:hanging="547"/>
        <w:rPr>
          <w:rFonts w:asciiTheme="minorHAnsi" w:hAnsiTheme="minorHAnsi" w:cs="Arial"/>
          <w:sz w:val="24"/>
          <w:szCs w:val="24"/>
        </w:rPr>
      </w:pPr>
      <w:r w:rsidRPr="00FA563E">
        <w:rPr>
          <w:rFonts w:asciiTheme="minorHAnsi" w:hAnsiTheme="minorHAnsi" w:cs="Arial"/>
          <w:b/>
          <w:sz w:val="24"/>
          <w:szCs w:val="24"/>
        </w:rPr>
        <w:t>Date:</w:t>
      </w:r>
      <w:r w:rsidRPr="00FA563E">
        <w:rPr>
          <w:rFonts w:asciiTheme="minorHAnsi" w:hAnsiTheme="minorHAnsi" w:cs="Arial"/>
          <w:sz w:val="24"/>
          <w:szCs w:val="24"/>
        </w:rPr>
        <w:t xml:space="preserve">  </w:t>
      </w:r>
      <w:r w:rsidR="004E4B7F" w:rsidRPr="00FA563E">
        <w:rPr>
          <w:rFonts w:asciiTheme="minorHAnsi" w:hAnsiTheme="minorHAnsi" w:cs="Arial"/>
          <w:sz w:val="24"/>
          <w:szCs w:val="24"/>
        </w:rPr>
        <w:t>March 7</w:t>
      </w:r>
      <w:r w:rsidR="00AB1E6A" w:rsidRPr="00FA563E">
        <w:rPr>
          <w:rFonts w:asciiTheme="minorHAnsi" w:hAnsiTheme="minorHAnsi" w:cs="Arial"/>
          <w:sz w:val="24"/>
          <w:szCs w:val="24"/>
        </w:rPr>
        <w:t>, 2014</w:t>
      </w:r>
    </w:p>
    <w:p w:rsidR="00DB76EE" w:rsidRPr="00FA563E" w:rsidRDefault="00DB76EE" w:rsidP="008773D3">
      <w:pPr>
        <w:pStyle w:val="Indent"/>
        <w:pBdr>
          <w:top w:val="triple" w:sz="4" w:space="10" w:color="auto"/>
          <w:left w:val="triple" w:sz="4" w:space="4" w:color="auto"/>
          <w:bottom w:val="triple" w:sz="4" w:space="8" w:color="auto"/>
          <w:right w:val="triple" w:sz="4" w:space="4" w:color="auto"/>
        </w:pBdr>
        <w:shd w:val="clear" w:color="auto" w:fill="E6E6E6"/>
        <w:tabs>
          <w:tab w:val="left" w:pos="4680"/>
        </w:tabs>
        <w:spacing w:before="60"/>
        <w:ind w:left="547" w:hanging="547"/>
        <w:rPr>
          <w:rFonts w:asciiTheme="minorHAnsi" w:hAnsiTheme="minorHAnsi" w:cs="Arial"/>
          <w:sz w:val="24"/>
          <w:szCs w:val="24"/>
        </w:rPr>
      </w:pPr>
      <w:r w:rsidRPr="00FA563E">
        <w:rPr>
          <w:rFonts w:asciiTheme="minorHAnsi" w:hAnsiTheme="minorHAnsi" w:cs="Arial"/>
          <w:b/>
          <w:sz w:val="24"/>
          <w:szCs w:val="24"/>
        </w:rPr>
        <w:t>Staff/Office:</w:t>
      </w:r>
      <w:r w:rsidRPr="00FA563E">
        <w:rPr>
          <w:rFonts w:asciiTheme="minorHAnsi" w:hAnsiTheme="minorHAnsi" w:cs="Arial"/>
          <w:sz w:val="24"/>
          <w:szCs w:val="24"/>
        </w:rPr>
        <w:t xml:space="preserve"> </w:t>
      </w:r>
      <w:r w:rsidR="00AB1E6A" w:rsidRPr="00FA563E">
        <w:rPr>
          <w:rFonts w:asciiTheme="minorHAnsi" w:hAnsiTheme="minorHAnsi" w:cs="Arial"/>
          <w:sz w:val="24"/>
          <w:szCs w:val="24"/>
        </w:rPr>
        <w:t>Gerald Hamilton</w:t>
      </w:r>
      <w:r w:rsidR="001A51F4" w:rsidRPr="00FA563E">
        <w:rPr>
          <w:rFonts w:asciiTheme="minorHAnsi" w:hAnsiTheme="minorHAnsi" w:cs="Arial"/>
          <w:sz w:val="24"/>
          <w:szCs w:val="24"/>
        </w:rPr>
        <w:t>, CCWD</w:t>
      </w:r>
      <w:r w:rsidR="00AB1E6A" w:rsidRPr="00FA563E">
        <w:rPr>
          <w:rFonts w:asciiTheme="minorHAnsi" w:hAnsiTheme="minorHAnsi" w:cs="Arial"/>
          <w:sz w:val="24"/>
          <w:szCs w:val="24"/>
        </w:rPr>
        <w:t xml:space="preserve"> </w:t>
      </w:r>
      <w:r w:rsidR="007D6C98" w:rsidRPr="00FA563E">
        <w:rPr>
          <w:rFonts w:asciiTheme="minorHAnsi" w:hAnsiTheme="minorHAnsi" w:cs="Arial"/>
          <w:sz w:val="24"/>
          <w:szCs w:val="24"/>
        </w:rPr>
        <w:t xml:space="preserve"> </w:t>
      </w:r>
    </w:p>
    <w:p w:rsidR="00FA563E" w:rsidRDefault="00DB76EE" w:rsidP="008773D3">
      <w:pPr>
        <w:pStyle w:val="Indent"/>
        <w:pBdr>
          <w:top w:val="triple" w:sz="4" w:space="10" w:color="auto"/>
          <w:left w:val="triple" w:sz="4" w:space="4" w:color="auto"/>
          <w:bottom w:val="triple" w:sz="4" w:space="8" w:color="auto"/>
          <w:right w:val="triple" w:sz="4" w:space="4" w:color="auto"/>
        </w:pBdr>
        <w:shd w:val="clear" w:color="auto" w:fill="E6E6E6"/>
        <w:tabs>
          <w:tab w:val="left" w:pos="4680"/>
        </w:tabs>
        <w:spacing w:before="60"/>
        <w:ind w:left="547" w:hanging="547"/>
        <w:rPr>
          <w:rFonts w:asciiTheme="minorHAnsi" w:hAnsiTheme="minorHAnsi" w:cs="Arial"/>
          <w:b/>
          <w:bCs/>
          <w:sz w:val="24"/>
          <w:szCs w:val="24"/>
        </w:rPr>
      </w:pPr>
      <w:r w:rsidRPr="00FA563E">
        <w:rPr>
          <w:rFonts w:asciiTheme="minorHAnsi" w:hAnsiTheme="minorHAnsi" w:cs="Arial"/>
          <w:b/>
          <w:sz w:val="24"/>
          <w:szCs w:val="24"/>
        </w:rPr>
        <w:t>Action Requested:</w:t>
      </w:r>
      <w:r w:rsidR="00EB3D53" w:rsidRPr="00FA563E">
        <w:rPr>
          <w:rFonts w:asciiTheme="minorHAnsi" w:hAnsiTheme="minorHAnsi" w:cs="Arial"/>
          <w:b/>
          <w:bCs/>
          <w:sz w:val="24"/>
          <w:szCs w:val="24"/>
        </w:rPr>
        <w:t xml:space="preserve"> </w:t>
      </w:r>
    </w:p>
    <w:p w:rsidR="00DB76EE" w:rsidRPr="00FA563E" w:rsidRDefault="00FA563E" w:rsidP="008773D3">
      <w:pPr>
        <w:pStyle w:val="Indent"/>
        <w:pBdr>
          <w:top w:val="triple" w:sz="4" w:space="10" w:color="auto"/>
          <w:left w:val="triple" w:sz="4" w:space="4" w:color="auto"/>
          <w:bottom w:val="triple" w:sz="4" w:space="8" w:color="auto"/>
          <w:right w:val="triple" w:sz="4" w:space="4" w:color="auto"/>
        </w:pBdr>
        <w:shd w:val="clear" w:color="auto" w:fill="E6E6E6"/>
        <w:tabs>
          <w:tab w:val="left" w:pos="4680"/>
        </w:tabs>
        <w:spacing w:before="60"/>
        <w:ind w:left="547" w:hanging="547"/>
        <w:rPr>
          <w:rFonts w:asciiTheme="minorHAnsi" w:hAnsiTheme="minorHAnsi" w:cs="Arial"/>
          <w:b/>
          <w:sz w:val="24"/>
          <w:szCs w:val="24"/>
        </w:rPr>
      </w:pPr>
      <w:r>
        <w:rPr>
          <w:rFonts w:asciiTheme="minorHAnsi" w:hAnsiTheme="minorHAnsi" w:cs="Arial"/>
          <w:b/>
          <w:bCs/>
          <w:i/>
          <w:sz w:val="24"/>
          <w:szCs w:val="24"/>
        </w:rPr>
        <w:fldChar w:fldCharType="begin">
          <w:ffData>
            <w:name w:val="Check8"/>
            <w:enabled/>
            <w:calcOnExit w:val="0"/>
            <w:checkBox>
              <w:size w:val="22"/>
              <w:default w:val="1"/>
            </w:checkBox>
          </w:ffData>
        </w:fldChar>
      </w:r>
      <w:bookmarkStart w:id="0" w:name="Check8"/>
      <w:r>
        <w:rPr>
          <w:rFonts w:asciiTheme="minorHAnsi" w:hAnsiTheme="minorHAnsi" w:cs="Arial"/>
          <w:b/>
          <w:bCs/>
          <w:i/>
          <w:sz w:val="24"/>
          <w:szCs w:val="24"/>
        </w:rPr>
        <w:instrText xml:space="preserve"> FORMCHECKBOX </w:instrText>
      </w:r>
      <w:r>
        <w:rPr>
          <w:rFonts w:asciiTheme="minorHAnsi" w:hAnsiTheme="minorHAnsi" w:cs="Arial"/>
          <w:b/>
          <w:bCs/>
          <w:i/>
          <w:sz w:val="24"/>
          <w:szCs w:val="24"/>
        </w:rPr>
      </w:r>
      <w:r>
        <w:rPr>
          <w:rFonts w:asciiTheme="minorHAnsi" w:hAnsiTheme="minorHAnsi" w:cs="Arial"/>
          <w:b/>
          <w:bCs/>
          <w:i/>
          <w:sz w:val="24"/>
          <w:szCs w:val="24"/>
        </w:rPr>
        <w:fldChar w:fldCharType="end"/>
      </w:r>
      <w:bookmarkEnd w:id="0"/>
      <w:r w:rsidR="00DB76EE" w:rsidRPr="00FA563E">
        <w:rPr>
          <w:rFonts w:asciiTheme="minorHAnsi" w:hAnsiTheme="minorHAnsi" w:cs="Arial"/>
          <w:b/>
          <w:sz w:val="24"/>
          <w:szCs w:val="24"/>
        </w:rPr>
        <w:t xml:space="preserve"> Informational Only </w:t>
      </w:r>
      <w:r w:rsidR="00706E02" w:rsidRPr="00FA563E">
        <w:rPr>
          <w:rFonts w:asciiTheme="minorHAnsi" w:hAnsiTheme="minorHAnsi" w:cs="Arial"/>
          <w:b/>
          <w:bCs/>
          <w:sz w:val="24"/>
          <w:szCs w:val="24"/>
        </w:rPr>
        <w:t xml:space="preserve"> </w:t>
      </w:r>
      <w:r>
        <w:rPr>
          <w:rFonts w:asciiTheme="minorHAnsi" w:hAnsiTheme="minorHAnsi" w:cs="Arial"/>
          <w:b/>
          <w:bCs/>
          <w:sz w:val="24"/>
          <w:szCs w:val="24"/>
        </w:rPr>
        <w:fldChar w:fldCharType="begin">
          <w:ffData>
            <w:name w:val=""/>
            <w:enabled/>
            <w:calcOnExit w:val="0"/>
            <w:checkBox>
              <w:size w:val="22"/>
              <w:default w:val="0"/>
            </w:checkBox>
          </w:ffData>
        </w:fldChar>
      </w:r>
      <w:r>
        <w:rPr>
          <w:rFonts w:asciiTheme="minorHAnsi" w:hAnsiTheme="minorHAnsi" w:cs="Arial"/>
          <w:b/>
          <w:bCs/>
          <w:sz w:val="24"/>
          <w:szCs w:val="24"/>
        </w:rPr>
        <w:instrText xml:space="preserve"> FORMCHECKBOX </w:instrText>
      </w:r>
      <w:r>
        <w:rPr>
          <w:rFonts w:asciiTheme="minorHAnsi" w:hAnsiTheme="minorHAnsi" w:cs="Arial"/>
          <w:b/>
          <w:bCs/>
          <w:sz w:val="24"/>
          <w:szCs w:val="24"/>
        </w:rPr>
      </w:r>
      <w:r>
        <w:rPr>
          <w:rFonts w:asciiTheme="minorHAnsi" w:hAnsiTheme="minorHAnsi" w:cs="Arial"/>
          <w:b/>
          <w:bCs/>
          <w:sz w:val="24"/>
          <w:szCs w:val="24"/>
        </w:rPr>
        <w:fldChar w:fldCharType="end"/>
      </w:r>
      <w:r w:rsidRPr="00FA563E">
        <w:rPr>
          <w:rFonts w:asciiTheme="minorHAnsi" w:hAnsiTheme="minorHAnsi" w:cs="Arial"/>
          <w:b/>
          <w:sz w:val="24"/>
          <w:szCs w:val="24"/>
        </w:rPr>
        <w:t xml:space="preserve">  </w:t>
      </w:r>
      <w:r w:rsidR="00561AF9" w:rsidRPr="00FA563E">
        <w:rPr>
          <w:rFonts w:asciiTheme="minorHAnsi" w:hAnsiTheme="minorHAnsi" w:cs="Arial"/>
          <w:b/>
          <w:sz w:val="24"/>
          <w:szCs w:val="24"/>
        </w:rPr>
        <w:t xml:space="preserve"> Adoption Later</w:t>
      </w:r>
      <w:r w:rsidR="00DB76EE" w:rsidRPr="00FA563E">
        <w:rPr>
          <w:rFonts w:asciiTheme="minorHAnsi" w:hAnsiTheme="minorHAnsi" w:cs="Arial"/>
          <w:b/>
          <w:sz w:val="24"/>
          <w:szCs w:val="24"/>
        </w:rPr>
        <w:t xml:space="preserve">  </w:t>
      </w:r>
      <w:r>
        <w:rPr>
          <w:rFonts w:asciiTheme="minorHAnsi" w:hAnsiTheme="minorHAnsi" w:cs="Arial"/>
          <w:b/>
          <w:bCs/>
          <w:sz w:val="24"/>
          <w:szCs w:val="24"/>
        </w:rPr>
        <w:fldChar w:fldCharType="begin">
          <w:ffData>
            <w:name w:val=""/>
            <w:enabled/>
            <w:calcOnExit w:val="0"/>
            <w:checkBox>
              <w:size w:val="22"/>
              <w:default w:val="0"/>
            </w:checkBox>
          </w:ffData>
        </w:fldChar>
      </w:r>
      <w:r>
        <w:rPr>
          <w:rFonts w:asciiTheme="minorHAnsi" w:hAnsiTheme="minorHAnsi" w:cs="Arial"/>
          <w:b/>
          <w:bCs/>
          <w:sz w:val="24"/>
          <w:szCs w:val="24"/>
        </w:rPr>
        <w:instrText xml:space="preserve"> FORMCHECKBOX </w:instrText>
      </w:r>
      <w:r>
        <w:rPr>
          <w:rFonts w:asciiTheme="minorHAnsi" w:hAnsiTheme="minorHAnsi" w:cs="Arial"/>
          <w:b/>
          <w:bCs/>
          <w:sz w:val="24"/>
          <w:szCs w:val="24"/>
        </w:rPr>
      </w:r>
      <w:r>
        <w:rPr>
          <w:rFonts w:asciiTheme="minorHAnsi" w:hAnsiTheme="minorHAnsi" w:cs="Arial"/>
          <w:b/>
          <w:bCs/>
          <w:sz w:val="24"/>
          <w:szCs w:val="24"/>
        </w:rPr>
        <w:fldChar w:fldCharType="end"/>
      </w:r>
      <w:r w:rsidR="00DB76EE" w:rsidRPr="00FA563E">
        <w:rPr>
          <w:rFonts w:asciiTheme="minorHAnsi" w:hAnsiTheme="minorHAnsi" w:cs="Arial"/>
          <w:b/>
          <w:sz w:val="24"/>
          <w:szCs w:val="24"/>
        </w:rPr>
        <w:t xml:space="preserve">  Adoption   </w:t>
      </w:r>
      <w:r>
        <w:rPr>
          <w:rFonts w:asciiTheme="minorHAnsi" w:hAnsiTheme="minorHAnsi" w:cs="Arial"/>
          <w:b/>
          <w:bCs/>
          <w:sz w:val="24"/>
          <w:szCs w:val="24"/>
        </w:rPr>
        <w:fldChar w:fldCharType="begin">
          <w:ffData>
            <w:name w:val=""/>
            <w:enabled/>
            <w:calcOnExit w:val="0"/>
            <w:checkBox>
              <w:size w:val="22"/>
              <w:default w:val="0"/>
            </w:checkBox>
          </w:ffData>
        </w:fldChar>
      </w:r>
      <w:r>
        <w:rPr>
          <w:rFonts w:asciiTheme="minorHAnsi" w:hAnsiTheme="minorHAnsi" w:cs="Arial"/>
          <w:b/>
          <w:bCs/>
          <w:sz w:val="24"/>
          <w:szCs w:val="24"/>
        </w:rPr>
        <w:instrText xml:space="preserve"> FORMCHECKBOX </w:instrText>
      </w:r>
      <w:r>
        <w:rPr>
          <w:rFonts w:asciiTheme="minorHAnsi" w:hAnsiTheme="minorHAnsi" w:cs="Arial"/>
          <w:b/>
          <w:bCs/>
          <w:sz w:val="24"/>
          <w:szCs w:val="24"/>
        </w:rPr>
      </w:r>
      <w:r>
        <w:rPr>
          <w:rFonts w:asciiTheme="minorHAnsi" w:hAnsiTheme="minorHAnsi" w:cs="Arial"/>
          <w:b/>
          <w:bCs/>
          <w:sz w:val="24"/>
          <w:szCs w:val="24"/>
        </w:rPr>
        <w:fldChar w:fldCharType="end"/>
      </w:r>
      <w:r w:rsidR="00DB76EE" w:rsidRPr="00FA563E">
        <w:rPr>
          <w:rFonts w:asciiTheme="minorHAnsi" w:hAnsiTheme="minorHAnsi" w:cs="Arial"/>
          <w:b/>
          <w:sz w:val="24"/>
          <w:szCs w:val="24"/>
        </w:rPr>
        <w:t xml:space="preserve"> Adoption/Consent Agenda</w:t>
      </w:r>
    </w:p>
    <w:p w:rsidR="00DB76EE" w:rsidRPr="00FA563E" w:rsidRDefault="00DB76EE" w:rsidP="00E37199">
      <w:pPr>
        <w:pStyle w:val="Indent"/>
        <w:tabs>
          <w:tab w:val="left" w:pos="4680"/>
        </w:tabs>
        <w:ind w:left="0" w:firstLine="0"/>
        <w:rPr>
          <w:rFonts w:asciiTheme="minorHAnsi" w:hAnsiTheme="minorHAnsi"/>
          <w:sz w:val="24"/>
          <w:szCs w:val="24"/>
        </w:rPr>
      </w:pPr>
    </w:p>
    <w:p w:rsidR="00B42051" w:rsidRPr="00FA563E" w:rsidRDefault="00DB76EE" w:rsidP="00706E02">
      <w:pPr>
        <w:pStyle w:val="Indent"/>
        <w:tabs>
          <w:tab w:val="left" w:pos="4680"/>
        </w:tabs>
        <w:ind w:left="0" w:firstLine="0"/>
        <w:rPr>
          <w:rFonts w:asciiTheme="minorHAnsi" w:hAnsiTheme="minorHAnsi" w:cs="Arial"/>
          <w:sz w:val="24"/>
          <w:szCs w:val="24"/>
        </w:rPr>
      </w:pPr>
      <w:r w:rsidRPr="00FA563E">
        <w:rPr>
          <w:rFonts w:asciiTheme="minorHAnsi" w:hAnsiTheme="minorHAnsi" w:cs="Arial"/>
          <w:b/>
          <w:sz w:val="24"/>
          <w:szCs w:val="24"/>
        </w:rPr>
        <w:t>ISSUE BEFORE THE BOARD</w:t>
      </w:r>
      <w:r w:rsidR="004D59A9" w:rsidRPr="00FA563E">
        <w:rPr>
          <w:rFonts w:asciiTheme="minorHAnsi" w:hAnsiTheme="minorHAnsi" w:cs="Arial"/>
          <w:b/>
          <w:sz w:val="24"/>
          <w:szCs w:val="24"/>
        </w:rPr>
        <w:t xml:space="preserve"> </w:t>
      </w:r>
      <w:r w:rsidR="004D59A9" w:rsidRPr="00FA563E">
        <w:rPr>
          <w:rFonts w:asciiTheme="minorHAnsi" w:hAnsiTheme="minorHAnsi" w:cs="Arial"/>
          <w:sz w:val="24"/>
          <w:szCs w:val="24"/>
        </w:rPr>
        <w:t>The</w:t>
      </w:r>
      <w:r w:rsidR="00BB0C8A" w:rsidRPr="00FA563E">
        <w:rPr>
          <w:rFonts w:asciiTheme="minorHAnsi" w:hAnsiTheme="minorHAnsi" w:cs="Arial"/>
          <w:sz w:val="24"/>
          <w:szCs w:val="24"/>
        </w:rPr>
        <w:t xml:space="preserve"> Department of Community Colleges and Workforce Development (CCWD), will provide the Board </w:t>
      </w:r>
      <w:r w:rsidR="004D59A9" w:rsidRPr="00FA563E">
        <w:rPr>
          <w:rFonts w:asciiTheme="minorHAnsi" w:hAnsiTheme="minorHAnsi" w:cs="Arial"/>
          <w:sz w:val="24"/>
          <w:szCs w:val="24"/>
        </w:rPr>
        <w:t>a legislative update on bills that affect the education enterprise</w:t>
      </w:r>
      <w:r w:rsidR="00DB2A87" w:rsidRPr="00FA563E">
        <w:rPr>
          <w:rFonts w:asciiTheme="minorHAnsi" w:hAnsiTheme="minorHAnsi" w:cs="Arial"/>
          <w:sz w:val="24"/>
          <w:szCs w:val="24"/>
        </w:rPr>
        <w:t xml:space="preserve">. </w:t>
      </w:r>
      <w:r w:rsidR="004D59A9" w:rsidRPr="00FA563E">
        <w:rPr>
          <w:rFonts w:asciiTheme="minorHAnsi" w:hAnsiTheme="minorHAnsi" w:cs="Arial"/>
          <w:sz w:val="24"/>
          <w:szCs w:val="24"/>
        </w:rPr>
        <w:t>The Board’</w:t>
      </w:r>
      <w:r w:rsidR="00586992" w:rsidRPr="00FA563E">
        <w:rPr>
          <w:rFonts w:asciiTheme="minorHAnsi" w:hAnsiTheme="minorHAnsi" w:cs="Arial"/>
          <w:sz w:val="24"/>
          <w:szCs w:val="24"/>
        </w:rPr>
        <w:t xml:space="preserve">s guidance and suggestions </w:t>
      </w:r>
      <w:r w:rsidR="004D59A9" w:rsidRPr="00FA563E">
        <w:rPr>
          <w:rFonts w:asciiTheme="minorHAnsi" w:hAnsiTheme="minorHAnsi" w:cs="Arial"/>
          <w:sz w:val="24"/>
          <w:szCs w:val="24"/>
        </w:rPr>
        <w:t>help the department frame its responses and positions</w:t>
      </w:r>
      <w:r w:rsidR="00DB2A87" w:rsidRPr="00FA563E">
        <w:rPr>
          <w:rFonts w:asciiTheme="minorHAnsi" w:hAnsiTheme="minorHAnsi" w:cs="Arial"/>
          <w:sz w:val="24"/>
          <w:szCs w:val="24"/>
        </w:rPr>
        <w:t xml:space="preserve">. </w:t>
      </w:r>
      <w:r w:rsidR="004D59A9" w:rsidRPr="00FA563E">
        <w:rPr>
          <w:rFonts w:asciiTheme="minorHAnsi" w:hAnsiTheme="minorHAnsi" w:cs="Arial"/>
          <w:sz w:val="24"/>
          <w:szCs w:val="24"/>
        </w:rPr>
        <w:t>The report will include a synopsis of the latest information and a handout capturing the information available the evening before your meeting.</w:t>
      </w:r>
    </w:p>
    <w:p w:rsidR="00624E49" w:rsidRPr="00FA563E" w:rsidRDefault="00624E49" w:rsidP="00706E02">
      <w:pPr>
        <w:pStyle w:val="Indent"/>
        <w:tabs>
          <w:tab w:val="left" w:pos="4680"/>
        </w:tabs>
        <w:ind w:left="0" w:firstLine="0"/>
        <w:rPr>
          <w:rFonts w:asciiTheme="minorHAnsi" w:hAnsiTheme="minorHAnsi" w:cs="Arial"/>
          <w:b/>
          <w:sz w:val="24"/>
          <w:szCs w:val="24"/>
        </w:rPr>
      </w:pPr>
    </w:p>
    <w:p w:rsidR="004D59A9" w:rsidRPr="00FA563E" w:rsidRDefault="00DB76EE" w:rsidP="00706E02">
      <w:pPr>
        <w:pStyle w:val="Indent"/>
        <w:tabs>
          <w:tab w:val="left" w:pos="4680"/>
        </w:tabs>
        <w:ind w:left="0" w:firstLine="0"/>
        <w:rPr>
          <w:rFonts w:asciiTheme="minorHAnsi" w:hAnsiTheme="minorHAnsi" w:cs="Arial"/>
          <w:sz w:val="24"/>
          <w:szCs w:val="24"/>
        </w:rPr>
      </w:pPr>
      <w:r w:rsidRPr="00FA563E">
        <w:rPr>
          <w:rFonts w:asciiTheme="minorHAnsi" w:hAnsiTheme="minorHAnsi" w:cs="Arial"/>
          <w:b/>
          <w:sz w:val="24"/>
          <w:szCs w:val="24"/>
        </w:rPr>
        <w:t xml:space="preserve">BACKGROUND: </w:t>
      </w:r>
      <w:r w:rsidR="00C9261C" w:rsidRPr="00FA563E">
        <w:rPr>
          <w:rFonts w:asciiTheme="minorHAnsi" w:hAnsiTheme="minorHAnsi" w:cs="Arial"/>
          <w:sz w:val="24"/>
          <w:szCs w:val="24"/>
        </w:rPr>
        <w:t xml:space="preserve"> </w:t>
      </w:r>
      <w:r w:rsidR="004D59A9" w:rsidRPr="00FA563E">
        <w:rPr>
          <w:rFonts w:asciiTheme="minorHAnsi" w:hAnsiTheme="minorHAnsi" w:cs="Arial"/>
          <w:sz w:val="24"/>
          <w:szCs w:val="24"/>
        </w:rPr>
        <w:t>As a Department, CCWD’s commitment is to track all bills that can influence the constituents and stakeholders that we serve</w:t>
      </w:r>
      <w:r w:rsidR="00DB2A87" w:rsidRPr="00FA563E">
        <w:rPr>
          <w:rFonts w:asciiTheme="minorHAnsi" w:hAnsiTheme="minorHAnsi" w:cs="Arial"/>
          <w:sz w:val="24"/>
          <w:szCs w:val="24"/>
        </w:rPr>
        <w:t xml:space="preserve">. </w:t>
      </w:r>
      <w:r w:rsidR="004D59A9" w:rsidRPr="00FA563E">
        <w:rPr>
          <w:rFonts w:asciiTheme="minorHAnsi" w:hAnsiTheme="minorHAnsi" w:cs="Arial"/>
          <w:sz w:val="24"/>
          <w:szCs w:val="24"/>
        </w:rPr>
        <w:t>The Department will track the bills until the session ends</w:t>
      </w:r>
      <w:r w:rsidR="00DB2A87" w:rsidRPr="00FA563E">
        <w:rPr>
          <w:rFonts w:asciiTheme="minorHAnsi" w:hAnsiTheme="minorHAnsi" w:cs="Arial"/>
          <w:sz w:val="24"/>
          <w:szCs w:val="24"/>
        </w:rPr>
        <w:t xml:space="preserve">. </w:t>
      </w:r>
      <w:r w:rsidR="00624E49" w:rsidRPr="00FA563E">
        <w:rPr>
          <w:rFonts w:asciiTheme="minorHAnsi" w:hAnsiTheme="minorHAnsi" w:cs="Arial"/>
          <w:sz w:val="24"/>
          <w:szCs w:val="24"/>
        </w:rPr>
        <w:t xml:space="preserve">This is an update </w:t>
      </w:r>
      <w:r w:rsidR="00AB1E6A" w:rsidRPr="00FA563E">
        <w:rPr>
          <w:rFonts w:asciiTheme="minorHAnsi" w:hAnsiTheme="minorHAnsi" w:cs="Arial"/>
          <w:sz w:val="24"/>
          <w:szCs w:val="24"/>
        </w:rPr>
        <w:t>on the</w:t>
      </w:r>
      <w:r w:rsidR="00624E49" w:rsidRPr="00FA563E">
        <w:rPr>
          <w:rFonts w:asciiTheme="minorHAnsi" w:hAnsiTheme="minorHAnsi" w:cs="Arial"/>
          <w:sz w:val="24"/>
          <w:szCs w:val="24"/>
        </w:rPr>
        <w:t xml:space="preserve"> bills CCWD is currently tracking</w:t>
      </w:r>
      <w:r w:rsidR="00AB1E6A" w:rsidRPr="00FA563E">
        <w:rPr>
          <w:rFonts w:asciiTheme="minorHAnsi" w:hAnsiTheme="minorHAnsi" w:cs="Arial"/>
          <w:sz w:val="24"/>
          <w:szCs w:val="24"/>
        </w:rPr>
        <w:t>, and reflecting their reporting status as of 2/24/14</w:t>
      </w:r>
      <w:r w:rsidR="00624E49" w:rsidRPr="00FA563E">
        <w:rPr>
          <w:rFonts w:asciiTheme="minorHAnsi" w:hAnsiTheme="minorHAnsi" w:cs="Arial"/>
          <w:sz w:val="24"/>
          <w:szCs w:val="24"/>
        </w:rPr>
        <w:t xml:space="preserve">. </w:t>
      </w:r>
      <w:r w:rsidR="004D59A9" w:rsidRPr="00FA563E">
        <w:rPr>
          <w:rFonts w:asciiTheme="minorHAnsi" w:hAnsiTheme="minorHAnsi" w:cs="Arial"/>
          <w:sz w:val="24"/>
          <w:szCs w:val="24"/>
        </w:rPr>
        <w:t>If Board members want information on</w:t>
      </w:r>
      <w:r w:rsidR="00DB2A87" w:rsidRPr="00FA563E">
        <w:rPr>
          <w:rFonts w:asciiTheme="minorHAnsi" w:hAnsiTheme="minorHAnsi" w:cs="Arial"/>
          <w:sz w:val="24"/>
          <w:szCs w:val="24"/>
        </w:rPr>
        <w:t xml:space="preserve"> bills</w:t>
      </w:r>
      <w:r w:rsidR="004D59A9" w:rsidRPr="00FA563E">
        <w:rPr>
          <w:rFonts w:asciiTheme="minorHAnsi" w:hAnsiTheme="minorHAnsi" w:cs="Arial"/>
          <w:sz w:val="24"/>
          <w:szCs w:val="24"/>
        </w:rPr>
        <w:t xml:space="preserve">, please contact the </w:t>
      </w:r>
      <w:r w:rsidR="00AB1E6A" w:rsidRPr="00FA563E">
        <w:rPr>
          <w:rFonts w:asciiTheme="minorHAnsi" w:hAnsiTheme="minorHAnsi" w:cs="Arial"/>
          <w:sz w:val="24"/>
          <w:szCs w:val="24"/>
        </w:rPr>
        <w:t xml:space="preserve">Interim Executive Director or the Deputy </w:t>
      </w:r>
      <w:r w:rsidR="004D59A9" w:rsidRPr="00FA563E">
        <w:rPr>
          <w:rFonts w:asciiTheme="minorHAnsi" w:hAnsiTheme="minorHAnsi" w:cs="Arial"/>
          <w:sz w:val="24"/>
          <w:szCs w:val="24"/>
        </w:rPr>
        <w:t>Commissioner.</w:t>
      </w:r>
    </w:p>
    <w:p w:rsidR="004D59A9" w:rsidRPr="00FA563E" w:rsidRDefault="004D59A9" w:rsidP="00706E02">
      <w:pPr>
        <w:pStyle w:val="Indent"/>
        <w:tabs>
          <w:tab w:val="left" w:pos="4680"/>
        </w:tabs>
        <w:ind w:left="0" w:firstLine="0"/>
        <w:rPr>
          <w:rFonts w:asciiTheme="minorHAnsi" w:hAnsiTheme="minorHAnsi"/>
          <w:sz w:val="24"/>
          <w:szCs w:val="24"/>
        </w:rPr>
      </w:pPr>
    </w:p>
    <w:tbl>
      <w:tblPr>
        <w:tblW w:w="9585" w:type="dxa"/>
        <w:jc w:val="center"/>
        <w:tblCellSpacing w:w="15" w:type="dxa"/>
        <w:tblLook w:val="04A0" w:firstRow="1" w:lastRow="0" w:firstColumn="1" w:lastColumn="0" w:noHBand="0" w:noVBand="1"/>
      </w:tblPr>
      <w:tblGrid>
        <w:gridCol w:w="10287"/>
      </w:tblGrid>
      <w:tr w:rsidR="00B656F9" w:rsidRPr="00FA563E">
        <w:trPr>
          <w:tblCellSpacing w:w="15" w:type="dxa"/>
          <w:jc w:val="center"/>
        </w:trPr>
        <w:tc>
          <w:tcPr>
            <w:tcW w:w="9525" w:type="dxa"/>
            <w:tcMar>
              <w:top w:w="15" w:type="dxa"/>
              <w:left w:w="15" w:type="dxa"/>
              <w:bottom w:w="15" w:type="dxa"/>
              <w:right w:w="15" w:type="dxa"/>
            </w:tcMar>
          </w:tcPr>
          <w:tbl>
            <w:tblPr>
              <w:tblW w:w="9724" w:type="dxa"/>
              <w:jc w:val="center"/>
              <w:tblCellSpacing w:w="0" w:type="dxa"/>
              <w:shd w:val="clear" w:color="auto" w:fill="FFFFFF"/>
              <w:tblLook w:val="04A0" w:firstRow="1" w:lastRow="0" w:firstColumn="1" w:lastColumn="0" w:noHBand="0" w:noVBand="1"/>
            </w:tblPr>
            <w:tblGrid>
              <w:gridCol w:w="10197"/>
            </w:tblGrid>
            <w:tr w:rsidR="00B656F9" w:rsidRPr="00FA563E">
              <w:trPr>
                <w:tblCellSpacing w:w="0" w:type="dxa"/>
                <w:jc w:val="center"/>
              </w:trPr>
              <w:tc>
                <w:tcPr>
                  <w:tcW w:w="9724" w:type="dxa"/>
                  <w:shd w:val="clear" w:color="auto" w:fill="FFFFFF"/>
                  <w:tcMar>
                    <w:top w:w="15" w:type="dxa"/>
                    <w:left w:w="15" w:type="dxa"/>
                    <w:bottom w:w="15" w:type="dxa"/>
                    <w:right w:w="15" w:type="dxa"/>
                  </w:tcMar>
                  <w:vAlign w:val="center"/>
                </w:tcPr>
                <w:tbl>
                  <w:tblPr>
                    <w:tblW w:w="10157" w:type="dxa"/>
                    <w:tblCellSpacing w:w="15" w:type="dxa"/>
                    <w:tblLook w:val="04A0" w:firstRow="1" w:lastRow="0" w:firstColumn="1" w:lastColumn="0" w:noHBand="0" w:noVBand="1"/>
                  </w:tblPr>
                  <w:tblGrid>
                    <w:gridCol w:w="488"/>
                    <w:gridCol w:w="1382"/>
                    <w:gridCol w:w="2257"/>
                    <w:gridCol w:w="4506"/>
                    <w:gridCol w:w="1524"/>
                  </w:tblGrid>
                  <w:tr w:rsidR="00B656F9"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56F9" w:rsidRPr="00FA563E" w:rsidRDefault="00B656F9">
                        <w:pPr>
                          <w:spacing w:line="180" w:lineRule="atLeast"/>
                          <w:rPr>
                            <w:rFonts w:asciiTheme="minorHAnsi" w:hAnsiTheme="minorHAnsi" w:cs="Arial"/>
                            <w:b/>
                            <w:bCs/>
                            <w:color w:val="000000"/>
                          </w:rPr>
                        </w:pP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B656F9" w:rsidRPr="00FA563E" w:rsidRDefault="00B656F9">
                        <w:pPr>
                          <w:spacing w:line="180" w:lineRule="atLeast"/>
                          <w:rPr>
                            <w:rFonts w:asciiTheme="minorHAnsi" w:hAnsiTheme="minorHAnsi" w:cs="Arial"/>
                            <w:b/>
                            <w:bCs/>
                            <w:color w:val="000000"/>
                          </w:rPr>
                        </w:pPr>
                        <w:r w:rsidRPr="00FA563E">
                          <w:rPr>
                            <w:rFonts w:asciiTheme="minorHAnsi" w:hAnsiTheme="minorHAnsi" w:cs="Arial"/>
                            <w:b/>
                            <w:bCs/>
                            <w:color w:val="000000"/>
                          </w:rPr>
                          <w:t>Bill #</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B656F9" w:rsidRPr="00FA563E" w:rsidRDefault="00B656F9">
                        <w:pPr>
                          <w:spacing w:line="180" w:lineRule="atLeast"/>
                          <w:rPr>
                            <w:rFonts w:asciiTheme="minorHAnsi" w:hAnsiTheme="minorHAnsi" w:cs="Arial"/>
                            <w:b/>
                            <w:bCs/>
                            <w:color w:val="000000"/>
                          </w:rPr>
                        </w:pPr>
                        <w:r w:rsidRPr="00FA563E">
                          <w:rPr>
                            <w:rFonts w:asciiTheme="minorHAnsi" w:hAnsiTheme="minorHAnsi" w:cs="Arial"/>
                            <w:b/>
                            <w:bCs/>
                            <w:color w:val="000000"/>
                          </w:rPr>
                          <w:t>Relating To Clause</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B656F9" w:rsidRPr="00FA563E" w:rsidRDefault="00B656F9">
                        <w:pPr>
                          <w:spacing w:line="180" w:lineRule="atLeast"/>
                          <w:rPr>
                            <w:rFonts w:asciiTheme="minorHAnsi" w:hAnsiTheme="minorHAnsi" w:cs="Arial"/>
                            <w:b/>
                            <w:bCs/>
                            <w:color w:val="000000"/>
                          </w:rPr>
                        </w:pPr>
                        <w:r w:rsidRPr="00FA563E">
                          <w:rPr>
                            <w:rFonts w:asciiTheme="minorHAnsi" w:hAnsiTheme="minorHAnsi" w:cs="Arial"/>
                            <w:b/>
                            <w:bCs/>
                            <w:color w:val="000000"/>
                          </w:rPr>
                          <w:t>Summary</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B656F9" w:rsidRPr="00FA563E" w:rsidRDefault="00B656F9">
                        <w:pPr>
                          <w:spacing w:line="180" w:lineRule="atLeast"/>
                          <w:rPr>
                            <w:rFonts w:asciiTheme="minorHAnsi" w:hAnsiTheme="minorHAnsi" w:cs="Arial"/>
                            <w:b/>
                            <w:bCs/>
                            <w:color w:val="000000"/>
                          </w:rPr>
                        </w:pPr>
                        <w:r w:rsidRPr="00FA563E">
                          <w:rPr>
                            <w:rFonts w:asciiTheme="minorHAnsi" w:hAnsiTheme="minorHAnsi" w:cs="Arial"/>
                            <w:b/>
                            <w:bCs/>
                            <w:color w:val="000000"/>
                          </w:rPr>
                          <w:t>Last Action</w:t>
                        </w:r>
                      </w:p>
                    </w:tc>
                  </w:tr>
                  <w:tr w:rsidR="00DD1EB0"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D1EB0"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1</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D1EB0" w:rsidRPr="00FA563E" w:rsidRDefault="00DD1EB0" w:rsidP="00275F37">
                        <w:pPr>
                          <w:spacing w:line="165" w:lineRule="atLeast"/>
                          <w:rPr>
                            <w:rFonts w:asciiTheme="minorHAnsi" w:hAnsiTheme="minorHAnsi" w:cs="Arial"/>
                            <w:color w:val="000000"/>
                          </w:rPr>
                        </w:pPr>
                        <w:r w:rsidRPr="00FA563E">
                          <w:rPr>
                            <w:rFonts w:asciiTheme="minorHAnsi" w:hAnsiTheme="minorHAnsi" w:cs="Arial"/>
                            <w:color w:val="000000"/>
                          </w:rPr>
                          <w:t>HB</w:t>
                        </w:r>
                        <w:r w:rsidR="00275F37" w:rsidRPr="00FA563E">
                          <w:rPr>
                            <w:rFonts w:asciiTheme="minorHAnsi" w:hAnsiTheme="minorHAnsi" w:cs="Arial"/>
                            <w:color w:val="000000"/>
                          </w:rPr>
                          <w:t>4018A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D1EB0" w:rsidRPr="00FA563E" w:rsidRDefault="00275F37" w:rsidP="00EF4CE7">
                        <w:pPr>
                          <w:spacing w:line="150" w:lineRule="atLeast"/>
                          <w:rPr>
                            <w:rFonts w:asciiTheme="minorHAnsi" w:hAnsiTheme="minorHAnsi" w:cs="Arial"/>
                            <w:color w:val="000000"/>
                          </w:rPr>
                        </w:pPr>
                        <w:r w:rsidRPr="00FA563E">
                          <w:rPr>
                            <w:rFonts w:asciiTheme="minorHAnsi" w:hAnsiTheme="minorHAnsi" w:cs="Arial"/>
                            <w:color w:val="000000"/>
                          </w:rPr>
                          <w:t>Establishes work group to study improvements to OUS</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D1EB0" w:rsidRPr="00FA563E" w:rsidRDefault="00275F37" w:rsidP="00946866">
                        <w:pPr>
                          <w:spacing w:line="150" w:lineRule="atLeast"/>
                          <w:rPr>
                            <w:rFonts w:asciiTheme="minorHAnsi" w:hAnsiTheme="minorHAnsi" w:cs="Arial"/>
                            <w:b/>
                            <w:color w:val="000000"/>
                          </w:rPr>
                        </w:pPr>
                        <w:r w:rsidRPr="00FA563E">
                          <w:rPr>
                            <w:rFonts w:asciiTheme="minorHAnsi" w:hAnsiTheme="minorHAnsi" w:cs="Arial"/>
                            <w:color w:val="000000"/>
                          </w:rPr>
                          <w:t>Changes date by which EOU, OIT, SOU or WOU may request institutional governing board to May 15, 2014. Permits SBE to endorse / refuse to endorse U request for governing board. Allows HECC to enter into and administer interstate agreements for post-secondary distance education. Permits HECC to impose fee on educ. Institutions participating in interstate agreements.</w:t>
                        </w:r>
                        <w:r w:rsidRPr="00FA563E">
                          <w:rPr>
                            <w:rFonts w:asciiTheme="minorHAnsi" w:hAnsiTheme="minorHAnsi" w:cs="Arial"/>
                            <w:b/>
                            <w:color w:val="000000"/>
                          </w:rPr>
                          <w:t xml:space="preserve"> </w:t>
                        </w:r>
                        <w:r w:rsidRPr="00FA563E">
                          <w:rPr>
                            <w:rFonts w:asciiTheme="minorHAnsi" w:hAnsiTheme="minorHAnsi" w:cs="Arial"/>
                            <w:color w:val="000000"/>
                          </w:rPr>
                          <w:t>M</w:t>
                        </w:r>
                        <w:r w:rsidR="00946866" w:rsidRPr="00FA563E">
                          <w:rPr>
                            <w:rFonts w:asciiTheme="minorHAnsi" w:hAnsiTheme="minorHAnsi" w:cs="Arial"/>
                            <w:color w:val="000000"/>
                          </w:rPr>
                          <w:t>oves</w:t>
                        </w:r>
                        <w:r w:rsidRPr="00FA563E">
                          <w:rPr>
                            <w:rFonts w:asciiTheme="minorHAnsi" w:hAnsiTheme="minorHAnsi" w:cs="Arial"/>
                            <w:color w:val="000000"/>
                          </w:rPr>
                          <w:t xml:space="preserve"> CCWD </w:t>
                        </w:r>
                        <w:r w:rsidR="00946866" w:rsidRPr="00FA563E">
                          <w:rPr>
                            <w:rFonts w:asciiTheme="minorHAnsi" w:hAnsiTheme="minorHAnsi" w:cs="Arial"/>
                            <w:color w:val="000000"/>
                          </w:rPr>
                          <w:t>into</w:t>
                        </w:r>
                        <w:r w:rsidRPr="00FA563E">
                          <w:rPr>
                            <w:rFonts w:asciiTheme="minorHAnsi" w:hAnsiTheme="minorHAnsi" w:cs="Arial"/>
                            <w:color w:val="000000"/>
                          </w:rPr>
                          <w:t xml:space="preserve"> HECC </w:t>
                        </w:r>
                        <w:r w:rsidR="00946866" w:rsidRPr="00FA563E">
                          <w:rPr>
                            <w:rFonts w:asciiTheme="minorHAnsi" w:hAnsiTheme="minorHAnsi" w:cs="Arial"/>
                            <w:color w:val="000000"/>
                          </w:rPr>
                          <w:t>effective</w:t>
                        </w:r>
                        <w:r w:rsidRPr="00FA563E">
                          <w:rPr>
                            <w:rFonts w:asciiTheme="minorHAnsi" w:hAnsiTheme="minorHAnsi" w:cs="Arial"/>
                            <w:color w:val="000000"/>
                          </w:rPr>
                          <w:t xml:space="preserve"> JULY 1, 2015.</w:t>
                        </w:r>
                        <w:r w:rsidRPr="00FA563E">
                          <w:rPr>
                            <w:rFonts w:asciiTheme="minorHAnsi" w:hAnsiTheme="minorHAnsi" w:cs="Arial"/>
                            <w:b/>
                            <w:color w:val="000000"/>
                          </w:rPr>
                          <w:t xml:space="preserve"> </w:t>
                        </w:r>
                        <w:r w:rsidR="00946866" w:rsidRPr="00FA563E">
                          <w:rPr>
                            <w:rFonts w:asciiTheme="minorHAnsi" w:hAnsiTheme="minorHAnsi" w:cs="Arial"/>
                            <w:color w:val="000000"/>
                          </w:rPr>
                          <w:t>Establishes taskforce on Integrating CCED into HECC. Appropriates CCWD budget to HECC.</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D1EB0" w:rsidRPr="00FA563E" w:rsidRDefault="00946866" w:rsidP="007F6A54">
                        <w:pPr>
                          <w:spacing w:line="150" w:lineRule="atLeast"/>
                          <w:rPr>
                            <w:rFonts w:asciiTheme="minorHAnsi" w:hAnsiTheme="minorHAnsi" w:cs="Arial"/>
                            <w:color w:val="000000"/>
                          </w:rPr>
                        </w:pPr>
                        <w:r w:rsidRPr="00FA563E">
                          <w:rPr>
                            <w:rFonts w:asciiTheme="minorHAnsi" w:hAnsiTheme="minorHAnsi" w:cs="Arial"/>
                            <w:color w:val="000000"/>
                          </w:rPr>
                          <w:t>2/20/14 Assigned to Subcommittee on Education</w:t>
                        </w:r>
                      </w:p>
                    </w:tc>
                  </w:tr>
                  <w:tr w:rsidR="00BC2B34"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2</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46866" w:rsidP="00946866">
                        <w:pPr>
                          <w:spacing w:line="165" w:lineRule="atLeast"/>
                          <w:rPr>
                            <w:rFonts w:asciiTheme="minorHAnsi" w:hAnsiTheme="minorHAnsi" w:cs="Arial"/>
                            <w:color w:val="000000"/>
                          </w:rPr>
                        </w:pPr>
                        <w:r w:rsidRPr="00FA563E">
                          <w:rPr>
                            <w:rFonts w:asciiTheme="minorHAnsi" w:hAnsiTheme="minorHAnsi" w:cs="Arial"/>
                            <w:color w:val="000000"/>
                          </w:rPr>
                          <w:t>HB4019A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46866">
                        <w:pPr>
                          <w:spacing w:line="150" w:lineRule="atLeast"/>
                          <w:rPr>
                            <w:rFonts w:asciiTheme="minorHAnsi" w:hAnsiTheme="minorHAnsi" w:cs="Arial"/>
                            <w:color w:val="000000"/>
                          </w:rPr>
                        </w:pPr>
                        <w:r w:rsidRPr="00FA563E">
                          <w:rPr>
                            <w:rFonts w:asciiTheme="minorHAnsi" w:hAnsiTheme="minorHAnsi" w:cs="Arial"/>
                            <w:color w:val="000000"/>
                          </w:rPr>
                          <w:t>Relating to Higher Education</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46866">
                        <w:pPr>
                          <w:spacing w:line="150" w:lineRule="atLeast"/>
                          <w:rPr>
                            <w:rFonts w:asciiTheme="minorHAnsi" w:hAnsiTheme="minorHAnsi" w:cs="Arial"/>
                            <w:color w:val="000000"/>
                          </w:rPr>
                        </w:pPr>
                        <w:r w:rsidRPr="00FA563E">
                          <w:rPr>
                            <w:rFonts w:asciiTheme="minorHAnsi" w:hAnsiTheme="minorHAnsi" w:cs="Arial"/>
                            <w:color w:val="000000"/>
                          </w:rPr>
                          <w:t>Requires institutions of higher education to provide students with fact sheet re: program requirements, costs of education, loans, average salary / wages, loan default rates &amp; related data prior to enrollment. Requires annual report to establish process for collecting program &amp; degree-specific completion. Requires HECC to work toward increasing amount of program-specific data available.</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46866">
                        <w:pPr>
                          <w:spacing w:line="150" w:lineRule="atLeast"/>
                          <w:rPr>
                            <w:rFonts w:asciiTheme="minorHAnsi" w:hAnsiTheme="minorHAnsi" w:cs="Arial"/>
                            <w:color w:val="000000"/>
                          </w:rPr>
                        </w:pPr>
                        <w:r w:rsidRPr="00FA563E">
                          <w:rPr>
                            <w:rFonts w:asciiTheme="minorHAnsi" w:hAnsiTheme="minorHAnsi" w:cs="Arial"/>
                            <w:color w:val="000000"/>
                          </w:rPr>
                          <w:t>2/20/14 Assigned to Subcommittee on Education</w:t>
                        </w:r>
                      </w:p>
                    </w:tc>
                  </w:tr>
                  <w:tr w:rsidR="00BC2B34"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lastRenderedPageBreak/>
                          <w:t>3</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D95B54" w:rsidP="00EF4CE7">
                        <w:pPr>
                          <w:spacing w:line="165" w:lineRule="atLeast"/>
                          <w:rPr>
                            <w:rFonts w:asciiTheme="minorHAnsi" w:hAnsiTheme="minorHAnsi" w:cs="Arial"/>
                            <w:color w:val="000000"/>
                          </w:rPr>
                        </w:pPr>
                        <w:r w:rsidRPr="00FA563E">
                          <w:rPr>
                            <w:rFonts w:asciiTheme="minorHAnsi" w:hAnsiTheme="minorHAnsi" w:cs="Arial"/>
                            <w:color w:val="000000"/>
                          </w:rPr>
                          <w:t>HB4020A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D95B54" w:rsidP="00EF4CE7">
                        <w:pPr>
                          <w:spacing w:line="150" w:lineRule="atLeast"/>
                          <w:rPr>
                            <w:rFonts w:asciiTheme="minorHAnsi" w:hAnsiTheme="minorHAnsi" w:cs="Arial"/>
                            <w:color w:val="000000"/>
                          </w:rPr>
                        </w:pPr>
                        <w:r w:rsidRPr="00FA563E">
                          <w:rPr>
                            <w:rFonts w:asciiTheme="minorHAnsi" w:hAnsiTheme="minorHAnsi" w:cs="Arial"/>
                            <w:color w:val="000000"/>
                          </w:rPr>
                          <w:t>Relating to Engineering &amp; Technology Industry Council; appropriating money, prescribing an effective date.</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CA018D" w:rsidP="00561AF9">
                        <w:pPr>
                          <w:spacing w:line="150" w:lineRule="atLeast"/>
                          <w:rPr>
                            <w:rFonts w:asciiTheme="minorHAnsi" w:hAnsiTheme="minorHAnsi" w:cs="Arial"/>
                            <w:color w:val="000000"/>
                          </w:rPr>
                        </w:pPr>
                        <w:r w:rsidRPr="00FA563E">
                          <w:rPr>
                            <w:rFonts w:asciiTheme="minorHAnsi" w:hAnsiTheme="minorHAnsi" w:cs="Arial"/>
                            <w:color w:val="000000"/>
                          </w:rPr>
                          <w:t>Changes entities responsible for analyzing biennial performance reviews submitted by Engineering &amp; Technology Industry Council and for controlling associated fund by HECC.</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CA018D" w:rsidP="00EF4CE7">
                        <w:pPr>
                          <w:spacing w:line="150" w:lineRule="atLeast"/>
                          <w:rPr>
                            <w:rFonts w:asciiTheme="minorHAnsi" w:hAnsiTheme="minorHAnsi" w:cs="Arial"/>
                            <w:color w:val="000000"/>
                          </w:rPr>
                        </w:pPr>
                        <w:r w:rsidRPr="00FA563E">
                          <w:rPr>
                            <w:rFonts w:asciiTheme="minorHAnsi" w:hAnsiTheme="minorHAnsi" w:cs="Arial"/>
                            <w:color w:val="000000"/>
                          </w:rPr>
                          <w:t>2/12/14 Referred to Ways &amp; Means by order of Speaker</w:t>
                        </w:r>
                      </w:p>
                    </w:tc>
                  </w:tr>
                  <w:tr w:rsidR="00BC2B34"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4</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CA018D" w:rsidP="00EF4CE7">
                        <w:pPr>
                          <w:spacing w:line="165" w:lineRule="atLeast"/>
                          <w:rPr>
                            <w:rFonts w:asciiTheme="minorHAnsi" w:hAnsiTheme="minorHAnsi" w:cs="Arial"/>
                            <w:color w:val="000000"/>
                          </w:rPr>
                        </w:pPr>
                        <w:r w:rsidRPr="00FA563E">
                          <w:rPr>
                            <w:rFonts w:asciiTheme="minorHAnsi" w:hAnsiTheme="minorHAnsi" w:cs="Arial"/>
                            <w:color w:val="000000"/>
                          </w:rPr>
                          <w:t>HB4021A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CA018D" w:rsidP="00EF4CE7">
                        <w:pPr>
                          <w:spacing w:line="150" w:lineRule="atLeast"/>
                          <w:rPr>
                            <w:rFonts w:asciiTheme="minorHAnsi" w:hAnsiTheme="minorHAnsi" w:cs="Arial"/>
                            <w:color w:val="000000"/>
                          </w:rPr>
                        </w:pPr>
                        <w:r w:rsidRPr="00FA563E">
                          <w:rPr>
                            <w:rFonts w:asciiTheme="minorHAnsi" w:hAnsiTheme="minorHAnsi" w:cs="Arial"/>
                            <w:color w:val="000000"/>
                          </w:rPr>
                          <w:t>Relating to veterans’ educational benefits</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Default="00CA018D" w:rsidP="00561AF9">
                        <w:pPr>
                          <w:spacing w:line="150" w:lineRule="atLeast"/>
                          <w:rPr>
                            <w:rFonts w:asciiTheme="minorHAnsi" w:hAnsiTheme="minorHAnsi" w:cs="Arial"/>
                            <w:iCs/>
                            <w:color w:val="000000"/>
                          </w:rPr>
                        </w:pPr>
                        <w:r w:rsidRPr="00FA563E">
                          <w:rPr>
                            <w:rFonts w:asciiTheme="minorHAnsi" w:hAnsiTheme="minorHAnsi" w:cs="Arial"/>
                            <w:iCs/>
                            <w:color w:val="000000"/>
                          </w:rPr>
                          <w:t>Directs public universities to charge nonresident veteran who is graduate student tuition and fees no greater than resident rate if nonresident veteran received honorable or general discharge under honorable conditions and provides proof of physical presence in Oregon w/in 12 months of enrollment.</w:t>
                        </w:r>
                      </w:p>
                      <w:p w:rsidR="00FA563E" w:rsidRPr="00FA563E" w:rsidRDefault="00FA563E" w:rsidP="00561AF9">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5821F0" w:rsidP="007E6818">
                        <w:pPr>
                          <w:spacing w:line="150" w:lineRule="atLeast"/>
                          <w:rPr>
                            <w:rFonts w:asciiTheme="minorHAnsi" w:hAnsiTheme="minorHAnsi" w:cs="Arial"/>
                            <w:color w:val="000000"/>
                          </w:rPr>
                        </w:pPr>
                        <w:r w:rsidRPr="00FA563E">
                          <w:rPr>
                            <w:rFonts w:asciiTheme="minorHAnsi" w:hAnsiTheme="minorHAnsi" w:cs="Arial"/>
                            <w:color w:val="000000"/>
                          </w:rPr>
                          <w:t>2/24/14 third reading. Carried by Monnes Anderson. Passed.</w:t>
                        </w:r>
                      </w:p>
                    </w:tc>
                  </w:tr>
                  <w:tr w:rsidR="00BC2B34"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5</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5821F0" w:rsidP="00EF4CE7">
                        <w:pPr>
                          <w:spacing w:line="165" w:lineRule="atLeast"/>
                          <w:rPr>
                            <w:rFonts w:asciiTheme="minorHAnsi" w:hAnsiTheme="minorHAnsi" w:cs="Arial"/>
                            <w:color w:val="000000"/>
                          </w:rPr>
                        </w:pPr>
                        <w:r w:rsidRPr="00FA563E">
                          <w:rPr>
                            <w:rFonts w:asciiTheme="minorHAnsi" w:hAnsiTheme="minorHAnsi" w:cs="Arial"/>
                            <w:color w:val="000000"/>
                          </w:rPr>
                          <w:t>HB4023B</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5821F0" w:rsidP="00EF4CE7">
                        <w:pPr>
                          <w:spacing w:line="150" w:lineRule="atLeast"/>
                          <w:rPr>
                            <w:rFonts w:asciiTheme="minorHAnsi" w:hAnsiTheme="minorHAnsi" w:cs="Arial"/>
                            <w:color w:val="000000"/>
                          </w:rPr>
                        </w:pPr>
                        <w:r w:rsidRPr="00FA563E">
                          <w:rPr>
                            <w:rFonts w:asciiTheme="minorHAnsi" w:hAnsiTheme="minorHAnsi" w:cs="Arial"/>
                            <w:color w:val="000000"/>
                          </w:rPr>
                          <w:t>Relating to veterans: appropriating money</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Default="005821F0" w:rsidP="00AB1E6A">
                        <w:pPr>
                          <w:spacing w:line="150" w:lineRule="atLeast"/>
                          <w:rPr>
                            <w:rFonts w:asciiTheme="minorHAnsi" w:hAnsiTheme="minorHAnsi" w:cs="Arial"/>
                            <w:color w:val="000000"/>
                          </w:rPr>
                        </w:pPr>
                        <w:r w:rsidRPr="00FA563E">
                          <w:rPr>
                            <w:rFonts w:asciiTheme="minorHAnsi" w:hAnsiTheme="minorHAnsi" w:cs="Arial"/>
                            <w:color w:val="000000"/>
                          </w:rPr>
                          <w:t xml:space="preserve">Designates portion of U.S. Hwy 26 within Warm Springs Reservation as Warm Springs Veterans Memorial Highway. </w:t>
                        </w:r>
                        <w:r w:rsidR="00544B97" w:rsidRPr="00FA563E">
                          <w:rPr>
                            <w:rFonts w:asciiTheme="minorHAnsi" w:hAnsiTheme="minorHAnsi" w:cs="Arial"/>
                            <w:color w:val="000000"/>
                          </w:rPr>
                          <w:t xml:space="preserve">Directs State Lottery to establish lottery game to benefit veterans’ education &amp; economic development; directs CCWD to establish program to provide or facilitate education, training, &amp; economic opportunities that benefit veterans. Establishes Veteran’s Lottery Fund. Appropriates fund moneys to CCWD for program. </w:t>
                        </w:r>
                        <w:r w:rsidR="00AB1E6A" w:rsidRPr="00FA563E">
                          <w:rPr>
                            <w:rFonts w:asciiTheme="minorHAnsi" w:hAnsiTheme="minorHAnsi" w:cs="Arial"/>
                            <w:color w:val="000000"/>
                          </w:rPr>
                          <w:t>P</w:t>
                        </w:r>
                        <w:r w:rsidR="00544B97" w:rsidRPr="00FA563E">
                          <w:rPr>
                            <w:rFonts w:asciiTheme="minorHAnsi" w:hAnsiTheme="minorHAnsi" w:cs="Arial"/>
                            <w:color w:val="000000"/>
                          </w:rPr>
                          <w:t>ermits private, nonpublic employer to give preference in hiring and promotion of employees to members of uniformed service veterans, spouses of permanently &amp; totally disabled veterans and / or their spouses, uniformed veterans, and widows / widowers of veterans.</w:t>
                        </w:r>
                      </w:p>
                      <w:p w:rsidR="00FA563E" w:rsidRPr="00FA563E" w:rsidRDefault="00FA563E" w:rsidP="00AB1E6A">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E6818" w:rsidRPr="00FA563E" w:rsidRDefault="00544B97" w:rsidP="007E6818">
                        <w:pPr>
                          <w:spacing w:line="150" w:lineRule="atLeast"/>
                          <w:rPr>
                            <w:rFonts w:asciiTheme="minorHAnsi" w:hAnsiTheme="minorHAnsi" w:cs="Arial"/>
                            <w:color w:val="000000"/>
                          </w:rPr>
                        </w:pPr>
                        <w:r w:rsidRPr="00FA563E">
                          <w:rPr>
                            <w:rFonts w:asciiTheme="minorHAnsi" w:hAnsiTheme="minorHAnsi" w:cs="Arial"/>
                            <w:color w:val="000000"/>
                          </w:rPr>
                          <w:t>2/21/14 Referred to Ways and Means</w:t>
                        </w:r>
                      </w:p>
                    </w:tc>
                  </w:tr>
                  <w:tr w:rsidR="00BC2B34"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6</w:t>
                        </w:r>
                      </w:p>
                      <w:p w:rsidR="00624E49" w:rsidRPr="00FA563E" w:rsidRDefault="00624E49">
                        <w:pPr>
                          <w:spacing w:line="165" w:lineRule="atLeast"/>
                          <w:rPr>
                            <w:rFonts w:asciiTheme="minorHAnsi" w:hAnsiTheme="minorHAnsi" w:cs="Arial"/>
                            <w:b/>
                            <w:color w:val="000000"/>
                          </w:rPr>
                        </w:pP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544B97" w:rsidP="00EF4CE7">
                        <w:pPr>
                          <w:spacing w:line="165" w:lineRule="atLeast"/>
                          <w:rPr>
                            <w:rFonts w:asciiTheme="minorHAnsi" w:hAnsiTheme="minorHAnsi" w:cs="Arial"/>
                            <w:color w:val="000000"/>
                          </w:rPr>
                        </w:pPr>
                        <w:r w:rsidRPr="00FA563E">
                          <w:rPr>
                            <w:rFonts w:asciiTheme="minorHAnsi" w:hAnsiTheme="minorHAnsi" w:cs="Arial"/>
                            <w:color w:val="000000"/>
                          </w:rPr>
                          <w:t>HB4058A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Default="00544B97" w:rsidP="00EF4CE7">
                        <w:pPr>
                          <w:spacing w:line="150" w:lineRule="atLeast"/>
                          <w:rPr>
                            <w:rFonts w:asciiTheme="minorHAnsi" w:hAnsiTheme="minorHAnsi" w:cs="Arial"/>
                            <w:color w:val="000000"/>
                          </w:rPr>
                        </w:pPr>
                        <w:r w:rsidRPr="00FA563E">
                          <w:rPr>
                            <w:rFonts w:asciiTheme="minorHAnsi" w:hAnsiTheme="minorHAnsi" w:cs="Arial"/>
                            <w:color w:val="000000"/>
                          </w:rPr>
                          <w:t>Relating to apprenticeship programs in Oregon’s education mission.</w:t>
                        </w:r>
                      </w:p>
                      <w:p w:rsidR="00FA563E" w:rsidRPr="00FA563E" w:rsidRDefault="00FA563E" w:rsidP="00EF4CE7">
                        <w:pPr>
                          <w:spacing w:line="150" w:lineRule="atLeast"/>
                          <w:rPr>
                            <w:rFonts w:asciiTheme="minorHAnsi" w:hAnsiTheme="minorHAnsi" w:cs="Arial"/>
                            <w:color w:val="000000"/>
                          </w:rPr>
                        </w:pP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544B97" w:rsidP="00EF4CE7">
                        <w:pPr>
                          <w:spacing w:line="150" w:lineRule="atLeast"/>
                          <w:rPr>
                            <w:rFonts w:asciiTheme="minorHAnsi" w:hAnsiTheme="minorHAnsi" w:cs="Arial"/>
                            <w:color w:val="000000"/>
                          </w:rPr>
                        </w:pPr>
                        <w:r w:rsidRPr="00FA563E">
                          <w:rPr>
                            <w:rFonts w:asciiTheme="minorHAnsi" w:hAnsiTheme="minorHAnsi" w:cs="Arial"/>
                            <w:iCs/>
                            <w:color w:val="000000"/>
                          </w:rPr>
                          <w:t>Amends 40-40-20 education goals to include apprenticeship programs registered with State Apprenticeship &amp; Training Council.</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544B97" w:rsidP="007E6818">
                        <w:pPr>
                          <w:spacing w:line="150" w:lineRule="atLeast"/>
                          <w:rPr>
                            <w:rFonts w:asciiTheme="minorHAnsi" w:hAnsiTheme="minorHAnsi" w:cs="Arial"/>
                            <w:color w:val="000000"/>
                          </w:rPr>
                        </w:pPr>
                        <w:r w:rsidRPr="00FA563E">
                          <w:rPr>
                            <w:rFonts w:asciiTheme="minorHAnsi" w:hAnsiTheme="minorHAnsi" w:cs="Arial"/>
                            <w:color w:val="000000"/>
                          </w:rPr>
                          <w:t>2/24/14 Second reading.</w:t>
                        </w:r>
                      </w:p>
                    </w:tc>
                  </w:tr>
                  <w:tr w:rsidR="00BC2B34"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7</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AC1CDC" w:rsidP="00EF4CE7">
                        <w:pPr>
                          <w:spacing w:line="165" w:lineRule="atLeast"/>
                          <w:rPr>
                            <w:rFonts w:asciiTheme="minorHAnsi" w:hAnsiTheme="minorHAnsi" w:cs="Arial"/>
                            <w:color w:val="000000"/>
                          </w:rPr>
                        </w:pPr>
                        <w:r w:rsidRPr="00FA563E">
                          <w:rPr>
                            <w:rFonts w:asciiTheme="minorHAnsi" w:hAnsiTheme="minorHAnsi" w:cs="Arial"/>
                            <w:color w:val="000000"/>
                          </w:rPr>
                          <w:t>HB4062</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AC1CDC" w:rsidP="00EF4CE7">
                        <w:pPr>
                          <w:spacing w:line="150" w:lineRule="atLeast"/>
                          <w:rPr>
                            <w:rFonts w:asciiTheme="minorHAnsi" w:hAnsiTheme="minorHAnsi" w:cs="Arial"/>
                            <w:color w:val="000000"/>
                          </w:rPr>
                        </w:pPr>
                        <w:r w:rsidRPr="00FA563E">
                          <w:rPr>
                            <w:rFonts w:asciiTheme="minorHAnsi" w:hAnsiTheme="minorHAnsi" w:cs="Arial"/>
                            <w:color w:val="000000"/>
                          </w:rPr>
                          <w:t>Relating to student education records; prescribing an effective date.</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Default="00AC1CDC" w:rsidP="00EF4CE7">
                        <w:pPr>
                          <w:spacing w:line="150" w:lineRule="atLeast"/>
                          <w:rPr>
                            <w:rFonts w:asciiTheme="minorHAnsi" w:hAnsiTheme="minorHAnsi" w:cs="Arial"/>
                            <w:color w:val="000000"/>
                          </w:rPr>
                        </w:pPr>
                        <w:r w:rsidRPr="00FA563E">
                          <w:rPr>
                            <w:rFonts w:asciiTheme="minorHAnsi" w:hAnsiTheme="minorHAnsi" w:cs="Arial"/>
                            <w:color w:val="000000"/>
                          </w:rPr>
                          <w:t xml:space="preserve">Modifies standards that SBE must adopt related to student education records. Directs Dept. of Education to provide technical expertise to assist educational institutions in complying with standards. </w:t>
                        </w:r>
                      </w:p>
                      <w:p w:rsidR="00FA563E" w:rsidRPr="00FA563E" w:rsidRDefault="00FA563E" w:rsidP="00EF4CE7">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07826" w:rsidP="00607826">
                        <w:pPr>
                          <w:spacing w:line="150" w:lineRule="atLeast"/>
                          <w:rPr>
                            <w:rFonts w:asciiTheme="minorHAnsi" w:hAnsiTheme="minorHAnsi" w:cs="Arial"/>
                            <w:color w:val="000000"/>
                          </w:rPr>
                        </w:pPr>
                        <w:r w:rsidRPr="00FA563E">
                          <w:rPr>
                            <w:rFonts w:asciiTheme="minorHAnsi" w:hAnsiTheme="minorHAnsi" w:cs="Arial"/>
                            <w:color w:val="000000"/>
                          </w:rPr>
                          <w:t>2/12/14 Public hearing and work session held.</w:t>
                        </w:r>
                      </w:p>
                    </w:tc>
                  </w:tr>
                  <w:tr w:rsidR="00BC2B34"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lastRenderedPageBreak/>
                          <w:t>8</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1513B" w:rsidP="00EF4CE7">
                        <w:pPr>
                          <w:spacing w:line="165" w:lineRule="atLeast"/>
                          <w:rPr>
                            <w:rFonts w:asciiTheme="minorHAnsi" w:hAnsiTheme="minorHAnsi" w:cs="Arial"/>
                            <w:color w:val="000000"/>
                          </w:rPr>
                        </w:pPr>
                        <w:r w:rsidRPr="00FA563E">
                          <w:rPr>
                            <w:rFonts w:asciiTheme="minorHAnsi" w:hAnsiTheme="minorHAnsi" w:cs="Arial"/>
                            <w:color w:val="000000"/>
                          </w:rPr>
                          <w:t>HB4069A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1513B" w:rsidP="0091513B">
                        <w:pPr>
                          <w:spacing w:line="150" w:lineRule="atLeast"/>
                          <w:rPr>
                            <w:rFonts w:asciiTheme="minorHAnsi" w:hAnsiTheme="minorHAnsi" w:cs="Arial"/>
                            <w:color w:val="000000"/>
                          </w:rPr>
                        </w:pPr>
                        <w:r w:rsidRPr="00FA563E">
                          <w:rPr>
                            <w:rFonts w:asciiTheme="minorHAnsi" w:hAnsiTheme="minorHAnsi" w:cs="Arial"/>
                            <w:color w:val="000000"/>
                          </w:rPr>
                          <w:t>Relating to task force on career and technical education</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1513B" w:rsidP="00EF4CE7">
                        <w:pPr>
                          <w:spacing w:line="150" w:lineRule="atLeast"/>
                          <w:rPr>
                            <w:rFonts w:asciiTheme="minorHAnsi" w:hAnsiTheme="minorHAnsi" w:cs="Arial"/>
                            <w:color w:val="000000"/>
                          </w:rPr>
                        </w:pPr>
                        <w:r w:rsidRPr="00FA563E">
                          <w:rPr>
                            <w:rFonts w:asciiTheme="minorHAnsi" w:hAnsiTheme="minorHAnsi" w:cs="Arial"/>
                            <w:color w:val="000000"/>
                          </w:rPr>
                          <w:t>Establishes Oregon Task Force on Career and Technical Education Teaching for purpose of increasing availability and quality of career &amp; technical education courses.</w:t>
                        </w:r>
                      </w:p>
                      <w:p w:rsidR="00BC2B34" w:rsidRPr="00FA563E" w:rsidRDefault="00BC2B34" w:rsidP="00EF4CE7">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1513B">
                        <w:pPr>
                          <w:spacing w:line="150" w:lineRule="atLeast"/>
                          <w:rPr>
                            <w:rFonts w:asciiTheme="minorHAnsi" w:hAnsiTheme="minorHAnsi" w:cs="Arial"/>
                            <w:color w:val="000000"/>
                          </w:rPr>
                        </w:pPr>
                        <w:r w:rsidRPr="00FA563E">
                          <w:rPr>
                            <w:rFonts w:asciiTheme="minorHAnsi" w:hAnsiTheme="minorHAnsi" w:cs="Arial"/>
                            <w:color w:val="000000"/>
                          </w:rPr>
                          <w:t>2/12/14 Referred to Ways and Means by prior reference.</w:t>
                        </w:r>
                      </w:p>
                    </w:tc>
                  </w:tr>
                  <w:tr w:rsidR="00BC2B34"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9</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1513B">
                        <w:pPr>
                          <w:spacing w:line="165" w:lineRule="atLeast"/>
                          <w:rPr>
                            <w:rFonts w:asciiTheme="minorHAnsi" w:hAnsiTheme="minorHAnsi" w:cs="Arial"/>
                            <w:color w:val="000000"/>
                          </w:rPr>
                        </w:pPr>
                        <w:r w:rsidRPr="00FA563E">
                          <w:rPr>
                            <w:rFonts w:asciiTheme="minorHAnsi" w:hAnsiTheme="minorHAnsi" w:cs="Arial"/>
                            <w:color w:val="000000"/>
                          </w:rPr>
                          <w:t>HB4076A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1513B">
                        <w:pPr>
                          <w:spacing w:line="150" w:lineRule="atLeast"/>
                          <w:rPr>
                            <w:rFonts w:asciiTheme="minorHAnsi" w:hAnsiTheme="minorHAnsi" w:cs="Arial"/>
                            <w:color w:val="000000"/>
                          </w:rPr>
                        </w:pPr>
                        <w:r w:rsidRPr="00FA563E">
                          <w:rPr>
                            <w:rFonts w:asciiTheme="minorHAnsi" w:hAnsiTheme="minorHAnsi" w:cs="Arial"/>
                            <w:color w:val="000000"/>
                          </w:rPr>
                          <w:t>Relating to degree programs at public universities</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Default="0091513B" w:rsidP="0091513B">
                        <w:pPr>
                          <w:spacing w:line="150" w:lineRule="atLeast"/>
                          <w:rPr>
                            <w:rFonts w:asciiTheme="minorHAnsi" w:hAnsiTheme="minorHAnsi" w:cs="Arial"/>
                            <w:color w:val="000000"/>
                          </w:rPr>
                        </w:pPr>
                        <w:r w:rsidRPr="00FA563E">
                          <w:rPr>
                            <w:rFonts w:asciiTheme="minorHAnsi" w:hAnsiTheme="minorHAnsi" w:cs="Arial"/>
                            <w:color w:val="000000"/>
                          </w:rPr>
                          <w:t>Directs EOU, OIT, SOU and WOU to develop pilot programs for fixed cost bachelor’s degrees. Establishes criteria for pilot programs. Requires HECC to assist universities in developing &amp; tracking success of pilot programs and to issue reports to Legislative Assembly detailing status of, and commission’s recommendations for, pilot programs, and requires HECC to work with universities to establish long term and financially sustainable programs.</w:t>
                        </w:r>
                      </w:p>
                      <w:p w:rsidR="00FA563E" w:rsidRPr="00FA563E" w:rsidRDefault="00FA563E" w:rsidP="0091513B">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91513B" w:rsidP="007E6818">
                        <w:pPr>
                          <w:spacing w:line="150" w:lineRule="atLeast"/>
                          <w:rPr>
                            <w:rFonts w:asciiTheme="minorHAnsi" w:hAnsiTheme="minorHAnsi" w:cs="Arial"/>
                            <w:color w:val="000000"/>
                          </w:rPr>
                        </w:pPr>
                        <w:r w:rsidRPr="00FA563E">
                          <w:rPr>
                            <w:rFonts w:asciiTheme="minorHAnsi" w:hAnsiTheme="minorHAnsi" w:cs="Arial"/>
                            <w:color w:val="000000"/>
                          </w:rPr>
                          <w:t xml:space="preserve">2/12/14 referred to </w:t>
                        </w:r>
                        <w:r w:rsidR="00B55D8F" w:rsidRPr="00FA563E">
                          <w:rPr>
                            <w:rFonts w:asciiTheme="minorHAnsi" w:hAnsiTheme="minorHAnsi" w:cs="Arial"/>
                            <w:color w:val="000000"/>
                          </w:rPr>
                          <w:t>Ways and Means</w:t>
                        </w:r>
                      </w:p>
                    </w:tc>
                  </w:tr>
                  <w:tr w:rsidR="00BC2B34"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10</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5116EC">
                        <w:pPr>
                          <w:spacing w:line="165" w:lineRule="atLeast"/>
                          <w:rPr>
                            <w:rFonts w:asciiTheme="minorHAnsi" w:hAnsiTheme="minorHAnsi" w:cs="Arial"/>
                            <w:color w:val="000000"/>
                          </w:rPr>
                        </w:pPr>
                        <w:r w:rsidRPr="00FA563E">
                          <w:rPr>
                            <w:rFonts w:asciiTheme="minorHAnsi" w:hAnsiTheme="minorHAnsi" w:cs="Arial"/>
                            <w:color w:val="000000"/>
                          </w:rPr>
                          <w:t>HB4077</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5116EC">
                        <w:pPr>
                          <w:spacing w:line="150" w:lineRule="atLeast"/>
                          <w:rPr>
                            <w:rFonts w:asciiTheme="minorHAnsi" w:hAnsiTheme="minorHAnsi" w:cs="Arial"/>
                            <w:color w:val="000000"/>
                          </w:rPr>
                        </w:pPr>
                        <w:r w:rsidRPr="00FA563E">
                          <w:rPr>
                            <w:rFonts w:asciiTheme="minorHAnsi" w:hAnsiTheme="minorHAnsi" w:cs="Arial"/>
                            <w:color w:val="000000"/>
                          </w:rPr>
                          <w:t>Relating to the OEIB.</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2B34" w:rsidRPr="00FA563E" w:rsidRDefault="005116EC">
                        <w:pPr>
                          <w:spacing w:line="150" w:lineRule="atLeast"/>
                          <w:rPr>
                            <w:rFonts w:asciiTheme="minorHAnsi" w:hAnsiTheme="minorHAnsi" w:cs="Arial"/>
                            <w:color w:val="000000"/>
                          </w:rPr>
                        </w:pPr>
                        <w:r w:rsidRPr="00FA563E">
                          <w:rPr>
                            <w:rFonts w:asciiTheme="minorHAnsi" w:hAnsiTheme="minorHAnsi" w:cs="Arial"/>
                            <w:iCs/>
                            <w:color w:val="000000"/>
                          </w:rPr>
                          <w:t>Adds one member to OEIB who serves as member of school district board.</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116EC" w:rsidRPr="00FA563E" w:rsidRDefault="005116EC">
                        <w:pPr>
                          <w:spacing w:line="150" w:lineRule="atLeast"/>
                          <w:rPr>
                            <w:rFonts w:asciiTheme="minorHAnsi" w:hAnsiTheme="minorHAnsi" w:cs="Arial"/>
                            <w:color w:val="000000"/>
                          </w:rPr>
                        </w:pPr>
                        <w:r w:rsidRPr="00FA563E">
                          <w:rPr>
                            <w:rFonts w:asciiTheme="minorHAnsi" w:hAnsiTheme="minorHAnsi" w:cs="Arial"/>
                            <w:color w:val="000000"/>
                          </w:rPr>
                          <w:t>2/7/14 Public hearing and possible work session cancelled.</w:t>
                        </w:r>
                      </w:p>
                    </w:tc>
                  </w:tr>
                  <w:tr w:rsidR="00624E49"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11</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5116EC">
                        <w:pPr>
                          <w:spacing w:line="165" w:lineRule="atLeast"/>
                          <w:rPr>
                            <w:rFonts w:asciiTheme="minorHAnsi" w:hAnsiTheme="minorHAnsi" w:cs="Arial"/>
                            <w:color w:val="000000"/>
                          </w:rPr>
                        </w:pPr>
                        <w:r w:rsidRPr="00FA563E">
                          <w:rPr>
                            <w:rFonts w:asciiTheme="minorHAnsi" w:hAnsiTheme="minorHAnsi" w:cs="Arial"/>
                            <w:color w:val="000000"/>
                          </w:rPr>
                          <w:t>HB4082</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Default="00624E49" w:rsidP="005116EC">
                        <w:pPr>
                          <w:spacing w:line="150" w:lineRule="atLeast"/>
                          <w:rPr>
                            <w:rFonts w:asciiTheme="minorHAnsi" w:hAnsiTheme="minorHAnsi" w:cs="Arial"/>
                            <w:color w:val="000000"/>
                          </w:rPr>
                        </w:pPr>
                        <w:r w:rsidRPr="00FA563E">
                          <w:rPr>
                            <w:rFonts w:asciiTheme="minorHAnsi" w:hAnsiTheme="minorHAnsi" w:cs="Arial"/>
                            <w:color w:val="000000"/>
                          </w:rPr>
                          <w:t xml:space="preserve">Relating to the establishment of </w:t>
                        </w:r>
                        <w:r w:rsidR="005116EC" w:rsidRPr="00FA563E">
                          <w:rPr>
                            <w:rFonts w:asciiTheme="minorHAnsi" w:hAnsiTheme="minorHAnsi" w:cs="Arial"/>
                            <w:color w:val="000000"/>
                          </w:rPr>
                          <w:t>Relating to financial administration of the CCWD; appropriating money</w:t>
                        </w:r>
                      </w:p>
                      <w:p w:rsidR="00FA563E" w:rsidRPr="00FA563E" w:rsidRDefault="00FA563E" w:rsidP="005116EC">
                        <w:pPr>
                          <w:spacing w:line="150" w:lineRule="atLeast"/>
                          <w:rPr>
                            <w:rFonts w:asciiTheme="minorHAnsi" w:hAnsiTheme="minorHAnsi" w:cs="Arial"/>
                            <w:color w:val="000000"/>
                          </w:rPr>
                        </w:pP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5116EC">
                        <w:pPr>
                          <w:spacing w:line="150" w:lineRule="atLeast"/>
                          <w:rPr>
                            <w:rFonts w:asciiTheme="minorHAnsi" w:hAnsiTheme="minorHAnsi" w:cs="Arial"/>
                            <w:color w:val="000000"/>
                          </w:rPr>
                        </w:pPr>
                        <w:r w:rsidRPr="00FA563E">
                          <w:rPr>
                            <w:rFonts w:asciiTheme="minorHAnsi" w:hAnsiTheme="minorHAnsi" w:cs="Arial"/>
                            <w:iCs/>
                            <w:color w:val="000000"/>
                          </w:rPr>
                          <w:t>Appropriates moneys from General Fund to CCWD; appropriating money.</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5116EC" w:rsidP="006423F3">
                        <w:pPr>
                          <w:spacing w:line="150" w:lineRule="atLeast"/>
                          <w:rPr>
                            <w:rFonts w:asciiTheme="minorHAnsi" w:hAnsiTheme="minorHAnsi" w:cs="Arial"/>
                            <w:color w:val="000000"/>
                          </w:rPr>
                        </w:pPr>
                        <w:r w:rsidRPr="00FA563E">
                          <w:rPr>
                            <w:rFonts w:asciiTheme="minorHAnsi" w:hAnsiTheme="minorHAnsi" w:cs="Arial"/>
                            <w:color w:val="000000"/>
                          </w:rPr>
                          <w:t>2/12/14 Public hearing held.</w:t>
                        </w:r>
                      </w:p>
                    </w:tc>
                  </w:tr>
                  <w:tr w:rsidR="00624E49"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12</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5116EC">
                        <w:pPr>
                          <w:spacing w:line="165" w:lineRule="atLeast"/>
                          <w:rPr>
                            <w:rFonts w:asciiTheme="minorHAnsi" w:hAnsiTheme="minorHAnsi" w:cs="Arial"/>
                            <w:color w:val="000000"/>
                          </w:rPr>
                        </w:pPr>
                        <w:r w:rsidRPr="00FA563E">
                          <w:rPr>
                            <w:rFonts w:asciiTheme="minorHAnsi" w:hAnsiTheme="minorHAnsi" w:cs="Arial"/>
                            <w:color w:val="000000"/>
                          </w:rPr>
                          <w:t>HB4084</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5116EC">
                        <w:pPr>
                          <w:spacing w:line="150" w:lineRule="atLeast"/>
                          <w:rPr>
                            <w:rFonts w:asciiTheme="minorHAnsi" w:hAnsiTheme="minorHAnsi" w:cs="Arial"/>
                            <w:color w:val="000000"/>
                          </w:rPr>
                        </w:pPr>
                        <w:r w:rsidRPr="00FA563E">
                          <w:rPr>
                            <w:rFonts w:asciiTheme="minorHAnsi" w:hAnsiTheme="minorHAnsi" w:cs="Arial"/>
                            <w:color w:val="000000"/>
                          </w:rPr>
                          <w:t>Relating to child care services provided at community colleges; appropriating money</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Default="005116EC" w:rsidP="00561AF9">
                        <w:pPr>
                          <w:spacing w:line="150" w:lineRule="atLeast"/>
                          <w:rPr>
                            <w:rFonts w:asciiTheme="minorHAnsi" w:hAnsiTheme="minorHAnsi" w:cs="Arial"/>
                            <w:color w:val="000000"/>
                          </w:rPr>
                        </w:pPr>
                        <w:r w:rsidRPr="00FA563E">
                          <w:rPr>
                            <w:rFonts w:asciiTheme="minorHAnsi" w:hAnsiTheme="minorHAnsi" w:cs="Arial"/>
                            <w:color w:val="000000"/>
                          </w:rPr>
                          <w:t>Directs CCWD to administer grant program for purpose of distributing funds to community colleges to make child care services available to community college students. Appropriates moneys from General Fund for purpose of making distributions.</w:t>
                        </w:r>
                      </w:p>
                      <w:p w:rsidR="00FA563E" w:rsidRDefault="00FA563E" w:rsidP="00561AF9">
                        <w:pPr>
                          <w:spacing w:line="150" w:lineRule="atLeast"/>
                          <w:rPr>
                            <w:rFonts w:asciiTheme="minorHAnsi" w:hAnsiTheme="minorHAnsi" w:cs="Arial"/>
                            <w:color w:val="000000"/>
                          </w:rPr>
                        </w:pPr>
                      </w:p>
                      <w:p w:rsidR="00FA563E" w:rsidRDefault="00FA563E" w:rsidP="00561AF9">
                        <w:pPr>
                          <w:spacing w:line="150" w:lineRule="atLeast"/>
                          <w:rPr>
                            <w:rFonts w:asciiTheme="minorHAnsi" w:hAnsiTheme="minorHAnsi" w:cs="Arial"/>
                            <w:color w:val="000000"/>
                          </w:rPr>
                        </w:pPr>
                      </w:p>
                      <w:p w:rsidR="00FA563E" w:rsidRDefault="00FA563E" w:rsidP="00561AF9">
                        <w:pPr>
                          <w:spacing w:line="150" w:lineRule="atLeast"/>
                          <w:rPr>
                            <w:rFonts w:asciiTheme="minorHAnsi" w:hAnsiTheme="minorHAnsi" w:cs="Arial"/>
                            <w:color w:val="000000"/>
                          </w:rPr>
                        </w:pPr>
                      </w:p>
                      <w:p w:rsidR="00FA563E" w:rsidRDefault="00FA563E" w:rsidP="00561AF9">
                        <w:pPr>
                          <w:spacing w:line="150" w:lineRule="atLeast"/>
                          <w:rPr>
                            <w:rFonts w:asciiTheme="minorHAnsi" w:hAnsiTheme="minorHAnsi" w:cs="Arial"/>
                            <w:color w:val="000000"/>
                          </w:rPr>
                        </w:pPr>
                      </w:p>
                      <w:p w:rsidR="00FA563E" w:rsidRDefault="00FA563E" w:rsidP="00561AF9">
                        <w:pPr>
                          <w:spacing w:line="150" w:lineRule="atLeast"/>
                          <w:rPr>
                            <w:rFonts w:asciiTheme="minorHAnsi" w:hAnsiTheme="minorHAnsi" w:cs="Arial"/>
                            <w:color w:val="000000"/>
                          </w:rPr>
                        </w:pPr>
                      </w:p>
                      <w:p w:rsidR="00FA563E" w:rsidRDefault="00FA563E" w:rsidP="00561AF9">
                        <w:pPr>
                          <w:spacing w:line="150" w:lineRule="atLeast"/>
                          <w:rPr>
                            <w:rFonts w:asciiTheme="minorHAnsi" w:hAnsiTheme="minorHAnsi" w:cs="Arial"/>
                            <w:color w:val="000000"/>
                          </w:rPr>
                        </w:pPr>
                      </w:p>
                      <w:p w:rsidR="00FA563E" w:rsidRDefault="00FA563E" w:rsidP="00561AF9">
                        <w:pPr>
                          <w:spacing w:line="150" w:lineRule="atLeast"/>
                          <w:rPr>
                            <w:rFonts w:asciiTheme="minorHAnsi" w:hAnsiTheme="minorHAnsi" w:cs="Arial"/>
                            <w:color w:val="000000"/>
                          </w:rPr>
                        </w:pPr>
                      </w:p>
                      <w:p w:rsidR="00FA563E" w:rsidRDefault="00FA563E" w:rsidP="00561AF9">
                        <w:pPr>
                          <w:spacing w:line="150" w:lineRule="atLeast"/>
                          <w:rPr>
                            <w:rFonts w:asciiTheme="minorHAnsi" w:hAnsiTheme="minorHAnsi" w:cs="Arial"/>
                            <w:color w:val="000000"/>
                          </w:rPr>
                        </w:pPr>
                      </w:p>
                      <w:p w:rsidR="00FA563E" w:rsidRPr="00FA563E" w:rsidRDefault="00FA563E" w:rsidP="00561AF9">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5116EC">
                        <w:pPr>
                          <w:spacing w:line="150" w:lineRule="atLeast"/>
                          <w:rPr>
                            <w:rFonts w:asciiTheme="minorHAnsi" w:hAnsiTheme="minorHAnsi" w:cs="Arial"/>
                            <w:color w:val="000000"/>
                          </w:rPr>
                        </w:pPr>
                        <w:r w:rsidRPr="00FA563E">
                          <w:rPr>
                            <w:rFonts w:asciiTheme="minorHAnsi" w:hAnsiTheme="minorHAnsi" w:cs="Arial"/>
                            <w:color w:val="000000"/>
                          </w:rPr>
                          <w:t>2/13/14 Referred to Ways and Means by prior reference</w:t>
                        </w:r>
                      </w:p>
                    </w:tc>
                  </w:tr>
                  <w:tr w:rsidR="00624E49"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lastRenderedPageBreak/>
                          <w:t>13</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D27616">
                        <w:pPr>
                          <w:spacing w:line="165" w:lineRule="atLeast"/>
                          <w:rPr>
                            <w:rFonts w:asciiTheme="minorHAnsi" w:hAnsiTheme="minorHAnsi" w:cs="Arial"/>
                            <w:color w:val="000000"/>
                          </w:rPr>
                        </w:pPr>
                        <w:r w:rsidRPr="00FA563E">
                          <w:rPr>
                            <w:rFonts w:asciiTheme="minorHAnsi" w:hAnsiTheme="minorHAnsi" w:cs="Arial"/>
                            <w:color w:val="000000"/>
                          </w:rPr>
                          <w:t>HB4102A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D27616">
                        <w:pPr>
                          <w:spacing w:line="150" w:lineRule="atLeast"/>
                          <w:rPr>
                            <w:rFonts w:asciiTheme="minorHAnsi" w:hAnsiTheme="minorHAnsi" w:cs="Arial"/>
                            <w:color w:val="000000"/>
                          </w:rPr>
                        </w:pPr>
                        <w:r w:rsidRPr="00FA563E">
                          <w:rPr>
                            <w:rFonts w:asciiTheme="minorHAnsi" w:hAnsiTheme="minorHAnsi" w:cs="Arial"/>
                            <w:color w:val="000000"/>
                          </w:rPr>
                          <w:t>Relating to regulation of student financial aid</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Default="00D27616" w:rsidP="00D27616">
                        <w:pPr>
                          <w:spacing w:line="150" w:lineRule="atLeast"/>
                          <w:rPr>
                            <w:rFonts w:asciiTheme="minorHAnsi" w:hAnsiTheme="minorHAnsi" w:cs="Arial"/>
                            <w:color w:val="000000"/>
                          </w:rPr>
                        </w:pPr>
                        <w:r w:rsidRPr="00FA563E">
                          <w:rPr>
                            <w:rFonts w:asciiTheme="minorHAnsi" w:hAnsiTheme="minorHAnsi" w:cs="Arial"/>
                            <w:color w:val="000000"/>
                          </w:rPr>
                          <w:t>Prohibits public or private post-secondary institutions of education from entering into contracts with student financial aid management firms unless contracts meet certain requirements.</w:t>
                        </w:r>
                        <w:r w:rsidR="00763813" w:rsidRPr="00FA563E">
                          <w:rPr>
                            <w:rFonts w:asciiTheme="minorHAnsi" w:hAnsiTheme="minorHAnsi" w:cs="Arial"/>
                            <w:color w:val="000000"/>
                          </w:rPr>
                          <w:t xml:space="preserve"> Requires HECC to submit a report on the reviews the fee schedule(s) of a third-party financial firm(s) with which a public or private post-secondary institution of ed has entered into or renewed a contract, including the potential costs to the institution and its students as a result of the listed fees.</w:t>
                        </w:r>
                      </w:p>
                      <w:p w:rsidR="00FA563E" w:rsidRPr="00FA563E" w:rsidRDefault="00FA563E" w:rsidP="00D27616">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763813">
                        <w:pPr>
                          <w:spacing w:line="150" w:lineRule="atLeast"/>
                          <w:rPr>
                            <w:rFonts w:asciiTheme="minorHAnsi" w:hAnsiTheme="minorHAnsi" w:cs="Arial"/>
                            <w:color w:val="000000"/>
                          </w:rPr>
                        </w:pPr>
                        <w:r w:rsidRPr="00FA563E">
                          <w:rPr>
                            <w:rFonts w:asciiTheme="minorHAnsi" w:hAnsiTheme="minorHAnsi" w:cs="Arial"/>
                            <w:color w:val="000000"/>
                          </w:rPr>
                          <w:t>2/25/14 public hearing and possible work session scheduled.</w:t>
                        </w:r>
                      </w:p>
                    </w:tc>
                  </w:tr>
                  <w:tr w:rsidR="00624E49"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14</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035C6F">
                        <w:pPr>
                          <w:spacing w:line="165" w:lineRule="atLeast"/>
                          <w:rPr>
                            <w:rFonts w:asciiTheme="minorHAnsi" w:hAnsiTheme="minorHAnsi" w:cs="Arial"/>
                            <w:color w:val="000000"/>
                          </w:rPr>
                        </w:pPr>
                        <w:r w:rsidRPr="00FA563E">
                          <w:rPr>
                            <w:rFonts w:asciiTheme="minorHAnsi" w:hAnsiTheme="minorHAnsi" w:cs="Arial"/>
                            <w:color w:val="000000"/>
                          </w:rPr>
                          <w:t>HB4116A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035C6F">
                        <w:pPr>
                          <w:spacing w:line="150" w:lineRule="atLeast"/>
                          <w:rPr>
                            <w:rFonts w:asciiTheme="minorHAnsi" w:hAnsiTheme="minorHAnsi" w:cs="Arial"/>
                            <w:color w:val="000000"/>
                          </w:rPr>
                        </w:pPr>
                        <w:r w:rsidRPr="00FA563E">
                          <w:rPr>
                            <w:rFonts w:asciiTheme="minorHAnsi" w:hAnsiTheme="minorHAnsi" w:cs="Arial"/>
                            <w:color w:val="000000"/>
                          </w:rPr>
                          <w:t>Relating to assistance for community college students, appropriating money</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Default="00035C6F" w:rsidP="00561AF9">
                        <w:pPr>
                          <w:spacing w:line="150" w:lineRule="atLeast"/>
                          <w:rPr>
                            <w:rFonts w:asciiTheme="minorHAnsi" w:hAnsiTheme="minorHAnsi" w:cs="Arial"/>
                            <w:color w:val="000000"/>
                          </w:rPr>
                        </w:pPr>
                        <w:r w:rsidRPr="00FA563E">
                          <w:rPr>
                            <w:rFonts w:asciiTheme="minorHAnsi" w:hAnsiTheme="minorHAnsi" w:cs="Arial"/>
                            <w:color w:val="000000"/>
                          </w:rPr>
                          <w:t xml:space="preserve">Directs CCWD and HECC to jointly establish grant program for purpose of distributing moneys to increase number of underserved, low-income and first-generation college-bound students who enroll in community college and make progress toward degree or certificate. Sunsets program on July 1, 2015. Appropriates General Fund to CCWD for grant program. </w:t>
                        </w:r>
                      </w:p>
                      <w:p w:rsidR="00FA563E" w:rsidRPr="00FA563E" w:rsidRDefault="00FA563E" w:rsidP="00561AF9">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035C6F">
                        <w:pPr>
                          <w:spacing w:line="150" w:lineRule="atLeast"/>
                          <w:rPr>
                            <w:rFonts w:asciiTheme="minorHAnsi" w:hAnsiTheme="minorHAnsi" w:cs="Arial"/>
                            <w:color w:val="000000"/>
                          </w:rPr>
                        </w:pPr>
                        <w:r w:rsidRPr="00FA563E">
                          <w:rPr>
                            <w:rFonts w:asciiTheme="minorHAnsi" w:hAnsiTheme="minorHAnsi" w:cs="Arial"/>
                            <w:color w:val="000000"/>
                          </w:rPr>
                          <w:t>2/12/14 Referred to Ways and Means by prior reference</w:t>
                        </w:r>
                      </w:p>
                    </w:tc>
                  </w:tr>
                  <w:tr w:rsidR="00624E49"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624E49">
                        <w:pPr>
                          <w:spacing w:line="165" w:lineRule="atLeast"/>
                          <w:rPr>
                            <w:rFonts w:asciiTheme="minorHAnsi" w:hAnsiTheme="minorHAnsi" w:cs="Arial"/>
                            <w:b/>
                            <w:color w:val="000000"/>
                          </w:rPr>
                        </w:pPr>
                        <w:r w:rsidRPr="00FA563E">
                          <w:rPr>
                            <w:rFonts w:asciiTheme="minorHAnsi" w:hAnsiTheme="minorHAnsi" w:cs="Arial"/>
                            <w:b/>
                            <w:color w:val="000000"/>
                          </w:rPr>
                          <w:t>15</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B314DB" w:rsidP="00B314DB">
                        <w:pPr>
                          <w:spacing w:line="165" w:lineRule="atLeast"/>
                          <w:rPr>
                            <w:rFonts w:asciiTheme="minorHAnsi" w:hAnsiTheme="minorHAnsi" w:cs="Arial"/>
                            <w:color w:val="000000"/>
                          </w:rPr>
                        </w:pPr>
                        <w:r w:rsidRPr="00FA563E">
                          <w:rPr>
                            <w:rFonts w:asciiTheme="minorHAnsi" w:hAnsiTheme="minorHAnsi" w:cs="Arial"/>
                            <w:color w:val="000000"/>
                          </w:rPr>
                          <w:t>HB4121</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B314DB">
                        <w:pPr>
                          <w:spacing w:line="150" w:lineRule="atLeast"/>
                          <w:rPr>
                            <w:rFonts w:asciiTheme="minorHAnsi" w:hAnsiTheme="minorHAnsi" w:cs="Arial"/>
                            <w:color w:val="000000"/>
                          </w:rPr>
                        </w:pPr>
                        <w:r w:rsidRPr="00FA563E">
                          <w:rPr>
                            <w:rFonts w:asciiTheme="minorHAnsi" w:hAnsiTheme="minorHAnsi" w:cs="Arial"/>
                            <w:color w:val="000000"/>
                          </w:rPr>
                          <w:t>Relating to financial administration of CCWD; appropriating money.</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2269EB">
                        <w:pPr>
                          <w:spacing w:line="150" w:lineRule="atLeast"/>
                          <w:rPr>
                            <w:rFonts w:asciiTheme="minorHAnsi" w:hAnsiTheme="minorHAnsi" w:cs="Arial"/>
                            <w:color w:val="000000"/>
                          </w:rPr>
                        </w:pPr>
                        <w:r w:rsidRPr="00FA563E">
                          <w:rPr>
                            <w:rFonts w:asciiTheme="minorHAnsi" w:hAnsiTheme="minorHAnsi" w:cs="Arial"/>
                            <w:color w:val="000000"/>
                          </w:rPr>
                          <w:t>Appropriates moneys to General Fund to CCWD for child care expenses of community college students.</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4E49" w:rsidRPr="00FA563E" w:rsidRDefault="002269EB">
                        <w:pPr>
                          <w:spacing w:line="150" w:lineRule="atLeast"/>
                          <w:rPr>
                            <w:rFonts w:asciiTheme="minorHAnsi" w:hAnsiTheme="minorHAnsi" w:cs="Arial"/>
                            <w:color w:val="000000"/>
                          </w:rPr>
                        </w:pPr>
                        <w:r w:rsidRPr="00FA563E">
                          <w:rPr>
                            <w:rFonts w:asciiTheme="minorHAnsi" w:hAnsiTheme="minorHAnsi" w:cs="Arial"/>
                            <w:color w:val="000000"/>
                          </w:rPr>
                          <w:t>2/10/14 Public hearing held</w:t>
                        </w:r>
                      </w:p>
                    </w:tc>
                  </w:tr>
                  <w:tr w:rsidR="00B314DB"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19CD" w:rsidRPr="00FA563E" w:rsidRDefault="000519CD">
                        <w:pPr>
                          <w:spacing w:line="165" w:lineRule="atLeast"/>
                          <w:rPr>
                            <w:rFonts w:asciiTheme="minorHAnsi" w:hAnsiTheme="minorHAnsi" w:cs="Arial"/>
                            <w:b/>
                            <w:color w:val="000000"/>
                          </w:rPr>
                        </w:pPr>
                        <w:r w:rsidRPr="00FA563E">
                          <w:rPr>
                            <w:rFonts w:asciiTheme="minorHAnsi" w:hAnsiTheme="minorHAnsi" w:cs="Arial"/>
                            <w:b/>
                            <w:color w:val="000000"/>
                          </w:rPr>
                          <w:t>16</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2269EB" w:rsidP="002269EB">
                        <w:pPr>
                          <w:spacing w:line="165" w:lineRule="atLeast"/>
                          <w:rPr>
                            <w:rFonts w:asciiTheme="minorHAnsi" w:hAnsiTheme="minorHAnsi" w:cs="Arial"/>
                            <w:color w:val="000000"/>
                          </w:rPr>
                        </w:pPr>
                        <w:r w:rsidRPr="00FA563E">
                          <w:rPr>
                            <w:rFonts w:asciiTheme="minorHAnsi" w:hAnsiTheme="minorHAnsi" w:cs="Arial"/>
                            <w:color w:val="000000"/>
                          </w:rPr>
                          <w:t>HB4123A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2269EB">
                        <w:pPr>
                          <w:spacing w:line="150" w:lineRule="atLeast"/>
                          <w:rPr>
                            <w:rFonts w:asciiTheme="minorHAnsi" w:hAnsiTheme="minorHAnsi" w:cs="Arial"/>
                            <w:color w:val="000000"/>
                          </w:rPr>
                        </w:pPr>
                        <w:r w:rsidRPr="00FA563E">
                          <w:rPr>
                            <w:rFonts w:asciiTheme="minorHAnsi" w:hAnsiTheme="minorHAnsi" w:cs="Arial"/>
                            <w:color w:val="000000"/>
                          </w:rPr>
                          <w:t>Relating to undergraduate composition at universities with a governing board</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Default="002269EB" w:rsidP="002269EB">
                        <w:pPr>
                          <w:spacing w:line="150" w:lineRule="atLeast"/>
                          <w:rPr>
                            <w:rFonts w:asciiTheme="minorHAnsi" w:hAnsiTheme="minorHAnsi" w:cs="Arial"/>
                            <w:color w:val="000000"/>
                          </w:rPr>
                        </w:pPr>
                        <w:r w:rsidRPr="00FA563E">
                          <w:rPr>
                            <w:rFonts w:asciiTheme="minorHAnsi" w:hAnsiTheme="minorHAnsi" w:cs="Arial"/>
                            <w:color w:val="000000"/>
                          </w:rPr>
                          <w:t>Requires HECC to establish for every entering undergraduate class at each public university with governing board minimum percentage of students who must be Oregon residents. Required HECC to develop standards to ensure university compliance with residency requirements and implementation plan for these standards by 12/31/14.</w:t>
                        </w:r>
                      </w:p>
                      <w:p w:rsidR="00FA563E" w:rsidRPr="00FA563E" w:rsidRDefault="00FA563E" w:rsidP="002269EB">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269EB" w:rsidRPr="00FA563E" w:rsidRDefault="002269EB">
                        <w:pPr>
                          <w:spacing w:line="150" w:lineRule="atLeast"/>
                          <w:rPr>
                            <w:rFonts w:asciiTheme="minorHAnsi" w:hAnsiTheme="minorHAnsi" w:cs="Arial"/>
                            <w:color w:val="000000"/>
                          </w:rPr>
                        </w:pPr>
                        <w:r w:rsidRPr="00FA563E">
                          <w:rPr>
                            <w:rFonts w:asciiTheme="minorHAnsi" w:hAnsiTheme="minorHAnsi" w:cs="Arial"/>
                            <w:color w:val="000000"/>
                          </w:rPr>
                          <w:t>2/3/14 Referred to Higher Education and Workforce Development</w:t>
                        </w:r>
                      </w:p>
                    </w:tc>
                  </w:tr>
                  <w:tr w:rsidR="00B314DB"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0519CD">
                        <w:pPr>
                          <w:spacing w:line="165" w:lineRule="atLeast"/>
                          <w:rPr>
                            <w:rFonts w:asciiTheme="minorHAnsi" w:hAnsiTheme="minorHAnsi" w:cs="Arial"/>
                            <w:b/>
                            <w:color w:val="000000"/>
                          </w:rPr>
                        </w:pPr>
                        <w:r w:rsidRPr="00FA563E">
                          <w:rPr>
                            <w:rFonts w:asciiTheme="minorHAnsi" w:hAnsiTheme="minorHAnsi" w:cs="Arial"/>
                            <w:b/>
                            <w:color w:val="000000"/>
                          </w:rPr>
                          <w:t>17</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2269EB">
                        <w:pPr>
                          <w:spacing w:line="165" w:lineRule="atLeast"/>
                          <w:rPr>
                            <w:rFonts w:asciiTheme="minorHAnsi" w:hAnsiTheme="minorHAnsi" w:cs="Arial"/>
                            <w:color w:val="000000"/>
                          </w:rPr>
                        </w:pPr>
                        <w:r w:rsidRPr="00FA563E">
                          <w:rPr>
                            <w:rFonts w:asciiTheme="minorHAnsi" w:hAnsiTheme="minorHAnsi" w:cs="Arial"/>
                            <w:color w:val="000000"/>
                          </w:rPr>
                          <w:t>HB4127A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2269EB">
                        <w:pPr>
                          <w:spacing w:line="150" w:lineRule="atLeast"/>
                          <w:rPr>
                            <w:rFonts w:asciiTheme="minorHAnsi" w:hAnsiTheme="minorHAnsi" w:cs="Arial"/>
                            <w:color w:val="000000"/>
                          </w:rPr>
                        </w:pPr>
                        <w:r w:rsidRPr="00FA563E">
                          <w:rPr>
                            <w:rFonts w:asciiTheme="minorHAnsi" w:hAnsiTheme="minorHAnsi" w:cs="Arial"/>
                            <w:color w:val="000000"/>
                          </w:rPr>
                          <w:t>Relating to membership of the OEIB</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2269EB">
                        <w:pPr>
                          <w:spacing w:line="150" w:lineRule="atLeast"/>
                          <w:rPr>
                            <w:rFonts w:asciiTheme="minorHAnsi" w:hAnsiTheme="minorHAnsi" w:cs="Arial"/>
                            <w:color w:val="000000"/>
                          </w:rPr>
                        </w:pPr>
                        <w:r w:rsidRPr="00FA563E">
                          <w:rPr>
                            <w:rFonts w:asciiTheme="minorHAnsi" w:hAnsiTheme="minorHAnsi" w:cs="Arial"/>
                            <w:color w:val="000000"/>
                          </w:rPr>
                          <w:t>Requires that majority of members of OEIB be public educational professionals who work, or have worked, on a regular basis in public education setting. Requires that 4 or more members of board represent interests of, work, or have worked on a regular basis in public education from Kindergarten through grade 12. Applies to board membership on or after January 1, 2015.</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0519CD">
                        <w:pPr>
                          <w:spacing w:line="150" w:lineRule="atLeast"/>
                          <w:rPr>
                            <w:rFonts w:asciiTheme="minorHAnsi" w:hAnsiTheme="minorHAnsi" w:cs="Arial"/>
                            <w:color w:val="000000"/>
                          </w:rPr>
                        </w:pPr>
                        <w:r w:rsidRPr="00FA563E">
                          <w:rPr>
                            <w:rFonts w:asciiTheme="minorHAnsi" w:hAnsiTheme="minorHAnsi" w:cs="Arial"/>
                            <w:color w:val="000000"/>
                          </w:rPr>
                          <w:t>2/25/14 Possible work session scheduled.</w:t>
                        </w:r>
                      </w:p>
                    </w:tc>
                  </w:tr>
                  <w:tr w:rsidR="00B314DB"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0519CD">
                        <w:pPr>
                          <w:spacing w:line="165" w:lineRule="atLeast"/>
                          <w:rPr>
                            <w:rFonts w:asciiTheme="minorHAnsi" w:hAnsiTheme="minorHAnsi" w:cs="Arial"/>
                            <w:b/>
                            <w:color w:val="000000"/>
                          </w:rPr>
                        </w:pPr>
                        <w:r w:rsidRPr="00FA563E">
                          <w:rPr>
                            <w:rFonts w:asciiTheme="minorHAnsi" w:hAnsiTheme="minorHAnsi" w:cs="Arial"/>
                            <w:b/>
                            <w:color w:val="000000"/>
                          </w:rPr>
                          <w:lastRenderedPageBreak/>
                          <w:t>18</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A1D4A" w:rsidRPr="00FA563E" w:rsidRDefault="00BA1D4A">
                        <w:pPr>
                          <w:spacing w:line="165" w:lineRule="atLeast"/>
                          <w:rPr>
                            <w:rFonts w:asciiTheme="minorHAnsi" w:hAnsiTheme="minorHAnsi" w:cs="Arial"/>
                            <w:color w:val="000000"/>
                          </w:rPr>
                        </w:pPr>
                        <w:r w:rsidRPr="00FA563E">
                          <w:rPr>
                            <w:rFonts w:asciiTheme="minorHAnsi" w:hAnsiTheme="minorHAnsi" w:cs="Arial"/>
                            <w:color w:val="000000"/>
                          </w:rPr>
                          <w:t>HB4147</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BA1D4A">
                        <w:pPr>
                          <w:spacing w:line="150" w:lineRule="atLeast"/>
                          <w:rPr>
                            <w:rFonts w:asciiTheme="minorHAnsi" w:hAnsiTheme="minorHAnsi" w:cs="Arial"/>
                            <w:color w:val="000000"/>
                          </w:rPr>
                        </w:pPr>
                        <w:r w:rsidRPr="00FA563E">
                          <w:rPr>
                            <w:rFonts w:asciiTheme="minorHAnsi" w:hAnsiTheme="minorHAnsi" w:cs="Arial"/>
                            <w:color w:val="000000"/>
                          </w:rPr>
                          <w:t>Relating to higher education</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Default="00BA1D4A" w:rsidP="00DD34B3">
                        <w:pPr>
                          <w:spacing w:line="150" w:lineRule="atLeast"/>
                          <w:rPr>
                            <w:rFonts w:asciiTheme="minorHAnsi" w:hAnsiTheme="minorHAnsi" w:cs="Arial"/>
                            <w:color w:val="000000"/>
                          </w:rPr>
                        </w:pPr>
                        <w:r w:rsidRPr="00FA563E">
                          <w:rPr>
                            <w:rFonts w:asciiTheme="minorHAnsi" w:hAnsiTheme="minorHAnsi" w:cs="Arial"/>
                            <w:color w:val="000000"/>
                          </w:rPr>
                          <w:t>Requires Governor to appoint HECC as voting members one student from community college, and one student each from EOU, OIT, SOU, WOU, U</w:t>
                        </w:r>
                        <w:r w:rsidR="00DD34B3" w:rsidRPr="00FA563E">
                          <w:rPr>
                            <w:rFonts w:asciiTheme="minorHAnsi" w:hAnsiTheme="minorHAnsi" w:cs="Arial"/>
                            <w:color w:val="000000"/>
                          </w:rPr>
                          <w:t xml:space="preserve"> </w:t>
                        </w:r>
                        <w:r w:rsidRPr="00FA563E">
                          <w:rPr>
                            <w:rFonts w:asciiTheme="minorHAnsi" w:hAnsiTheme="minorHAnsi" w:cs="Arial"/>
                            <w:color w:val="000000"/>
                          </w:rPr>
                          <w:t>of</w:t>
                        </w:r>
                        <w:r w:rsidR="00DD34B3" w:rsidRPr="00FA563E">
                          <w:rPr>
                            <w:rFonts w:asciiTheme="minorHAnsi" w:hAnsiTheme="minorHAnsi" w:cs="Arial"/>
                            <w:color w:val="000000"/>
                          </w:rPr>
                          <w:t xml:space="preserve"> </w:t>
                        </w:r>
                        <w:r w:rsidRPr="00FA563E">
                          <w:rPr>
                            <w:rFonts w:asciiTheme="minorHAnsi" w:hAnsiTheme="minorHAnsi" w:cs="Arial"/>
                            <w:color w:val="000000"/>
                          </w:rPr>
                          <w:t>O, OSU and PSU. Requires each university with governing board that has graduate program to include both graduate student and undergraduate student as voting members of governing board. Requires Governor to conduct formal review on whether to remove member of governing board whose ability to serve is questioned by two-thirds vote of university’s student senate and faculty senate.</w:t>
                        </w:r>
                      </w:p>
                      <w:p w:rsidR="00FA563E" w:rsidRPr="00FA563E" w:rsidRDefault="00FA563E" w:rsidP="00DD34B3">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BA1D4A">
                        <w:pPr>
                          <w:spacing w:line="150" w:lineRule="atLeast"/>
                          <w:rPr>
                            <w:rFonts w:asciiTheme="minorHAnsi" w:hAnsiTheme="minorHAnsi" w:cs="Arial"/>
                            <w:color w:val="000000"/>
                          </w:rPr>
                        </w:pPr>
                        <w:r w:rsidRPr="00FA563E">
                          <w:rPr>
                            <w:rFonts w:asciiTheme="minorHAnsi" w:hAnsiTheme="minorHAnsi" w:cs="Arial"/>
                            <w:color w:val="000000"/>
                          </w:rPr>
                          <w:t>2/5/14 Public hearing scheduled</w:t>
                        </w:r>
                      </w:p>
                    </w:tc>
                  </w:tr>
                  <w:tr w:rsidR="00B314DB"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6A46B7">
                        <w:pPr>
                          <w:spacing w:line="165" w:lineRule="atLeast"/>
                          <w:rPr>
                            <w:rFonts w:asciiTheme="minorHAnsi" w:hAnsiTheme="minorHAnsi" w:cs="Arial"/>
                            <w:b/>
                            <w:color w:val="000000"/>
                          </w:rPr>
                        </w:pPr>
                        <w:r w:rsidRPr="00FA563E">
                          <w:rPr>
                            <w:rFonts w:asciiTheme="minorHAnsi" w:hAnsiTheme="minorHAnsi" w:cs="Arial"/>
                            <w:b/>
                            <w:color w:val="000000"/>
                          </w:rPr>
                          <w:t>19</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6A46B7">
                        <w:pPr>
                          <w:spacing w:line="165" w:lineRule="atLeast"/>
                          <w:rPr>
                            <w:rFonts w:asciiTheme="minorHAnsi" w:hAnsiTheme="minorHAnsi" w:cs="Arial"/>
                            <w:color w:val="000000"/>
                          </w:rPr>
                        </w:pPr>
                        <w:r w:rsidRPr="00FA563E">
                          <w:rPr>
                            <w:rFonts w:asciiTheme="minorHAnsi" w:hAnsiTheme="minorHAnsi" w:cs="Arial"/>
                            <w:color w:val="000000"/>
                          </w:rPr>
                          <w:t>SB1524B</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6A46B7">
                        <w:pPr>
                          <w:spacing w:line="150" w:lineRule="atLeast"/>
                          <w:rPr>
                            <w:rFonts w:asciiTheme="minorHAnsi" w:hAnsiTheme="minorHAnsi" w:cs="Arial"/>
                            <w:color w:val="000000"/>
                          </w:rPr>
                        </w:pPr>
                        <w:r w:rsidRPr="00FA563E">
                          <w:rPr>
                            <w:rFonts w:asciiTheme="minorHAnsi" w:hAnsiTheme="minorHAnsi" w:cs="Arial"/>
                            <w:color w:val="000000"/>
                          </w:rPr>
                          <w:t>Relating to community college costs.</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6A46B7">
                        <w:pPr>
                          <w:spacing w:line="150" w:lineRule="atLeast"/>
                          <w:rPr>
                            <w:rFonts w:asciiTheme="minorHAnsi" w:hAnsiTheme="minorHAnsi" w:cs="Arial"/>
                            <w:color w:val="000000"/>
                          </w:rPr>
                        </w:pPr>
                        <w:r w:rsidRPr="00FA563E">
                          <w:rPr>
                            <w:rFonts w:asciiTheme="minorHAnsi" w:hAnsiTheme="minorHAnsi" w:cs="Arial"/>
                            <w:color w:val="000000"/>
                          </w:rPr>
                          <w:t>Directs HECC to examine viability of program allowing students who graduated from high school in state or who completed grade 12 to attend community college for specified without paying tuition and fees. Directs HECC to submit report interim legislative committees on education no later than September</w:t>
                        </w:r>
                        <w:r w:rsidR="007571F2" w:rsidRPr="00FA563E">
                          <w:rPr>
                            <w:rFonts w:asciiTheme="minorHAnsi" w:hAnsiTheme="minorHAnsi" w:cs="Arial"/>
                            <w:color w:val="000000"/>
                          </w:rPr>
                          <w:t xml:space="preserve"> 30, 2014.</w:t>
                        </w: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7571F2">
                        <w:pPr>
                          <w:spacing w:line="150" w:lineRule="atLeast"/>
                          <w:rPr>
                            <w:rFonts w:asciiTheme="minorHAnsi" w:hAnsiTheme="minorHAnsi" w:cs="Arial"/>
                            <w:color w:val="000000"/>
                          </w:rPr>
                        </w:pPr>
                        <w:r w:rsidRPr="00FA563E">
                          <w:rPr>
                            <w:rFonts w:asciiTheme="minorHAnsi" w:hAnsiTheme="minorHAnsi" w:cs="Arial"/>
                            <w:color w:val="000000"/>
                          </w:rPr>
                          <w:t>2/24/14 Second reading</w:t>
                        </w:r>
                      </w:p>
                    </w:tc>
                  </w:tr>
                  <w:tr w:rsidR="00B314DB"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7571F2">
                        <w:pPr>
                          <w:spacing w:line="165" w:lineRule="atLeast"/>
                          <w:rPr>
                            <w:rFonts w:asciiTheme="minorHAnsi" w:hAnsiTheme="minorHAnsi" w:cs="Arial"/>
                            <w:b/>
                            <w:color w:val="000000"/>
                          </w:rPr>
                        </w:pPr>
                        <w:r w:rsidRPr="00FA563E">
                          <w:rPr>
                            <w:rFonts w:asciiTheme="minorHAnsi" w:hAnsiTheme="minorHAnsi" w:cs="Arial"/>
                            <w:b/>
                            <w:color w:val="000000"/>
                          </w:rPr>
                          <w:t>20</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7571F2">
                        <w:pPr>
                          <w:spacing w:line="165" w:lineRule="atLeast"/>
                          <w:rPr>
                            <w:rFonts w:asciiTheme="minorHAnsi" w:hAnsiTheme="minorHAnsi" w:cs="Arial"/>
                            <w:color w:val="000000"/>
                          </w:rPr>
                        </w:pPr>
                        <w:r w:rsidRPr="00FA563E">
                          <w:rPr>
                            <w:rFonts w:asciiTheme="minorHAnsi" w:hAnsiTheme="minorHAnsi" w:cs="Arial"/>
                            <w:color w:val="000000"/>
                          </w:rPr>
                          <w:t>SB1525A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7571F2">
                        <w:pPr>
                          <w:spacing w:line="150" w:lineRule="atLeast"/>
                          <w:rPr>
                            <w:rFonts w:asciiTheme="minorHAnsi" w:hAnsiTheme="minorHAnsi" w:cs="Arial"/>
                            <w:color w:val="000000"/>
                          </w:rPr>
                        </w:pPr>
                        <w:r w:rsidRPr="00FA563E">
                          <w:rPr>
                            <w:rFonts w:asciiTheme="minorHAnsi" w:hAnsiTheme="minorHAnsi" w:cs="Arial"/>
                            <w:color w:val="000000"/>
                          </w:rPr>
                          <w:t>Relating to education</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Default="007571F2">
                        <w:pPr>
                          <w:spacing w:line="150" w:lineRule="atLeast"/>
                          <w:rPr>
                            <w:rFonts w:asciiTheme="minorHAnsi" w:hAnsiTheme="minorHAnsi" w:cs="Arial"/>
                            <w:color w:val="000000"/>
                          </w:rPr>
                        </w:pPr>
                        <w:r w:rsidRPr="00FA563E">
                          <w:rPr>
                            <w:rFonts w:asciiTheme="minorHAnsi" w:hAnsiTheme="minorHAnsi" w:cs="Arial"/>
                            <w:color w:val="000000"/>
                          </w:rPr>
                          <w:t>Grants HECC authority to enter into and administer interstate agreements regarding provision of post-secondary distance education. Clarifies relationship between HECC and OEIB. Revised composition of State Board of Higher Education. Prevents faculty &amp; non</w:t>
                        </w:r>
                        <w:r w:rsidR="00B5485E" w:rsidRPr="00FA563E">
                          <w:rPr>
                            <w:rFonts w:asciiTheme="minorHAnsi" w:hAnsiTheme="minorHAnsi" w:cs="Arial"/>
                            <w:color w:val="000000"/>
                          </w:rPr>
                          <w:t>-</w:t>
                        </w:r>
                        <w:r w:rsidRPr="00FA563E">
                          <w:rPr>
                            <w:rFonts w:asciiTheme="minorHAnsi" w:hAnsiTheme="minorHAnsi" w:cs="Arial"/>
                            <w:color w:val="000000"/>
                          </w:rPr>
                          <w:t>faculty staff members of university governing board from taking part in board discussions relating to collective bargaining. Clarifies legislative intent on how constitutional references to State Board of Higher Education are interpreted. Reestablishes work group to explore options for optimal regional education delivery systems. Sunsets work group on date of 2015 legislative regular session convening. Clarifies applicability of PERS to universities w/ governing boards. Revises date by with EOU, OIT, SOU &amp; WOU must notify SBE of their intent to become universities w/ governing boards.</w:t>
                        </w:r>
                      </w:p>
                      <w:p w:rsidR="00FA563E" w:rsidRDefault="00FA563E">
                        <w:pPr>
                          <w:spacing w:line="150" w:lineRule="atLeast"/>
                          <w:rPr>
                            <w:rFonts w:asciiTheme="minorHAnsi" w:hAnsiTheme="minorHAnsi" w:cs="Arial"/>
                            <w:color w:val="000000"/>
                          </w:rPr>
                        </w:pPr>
                      </w:p>
                      <w:p w:rsidR="00FA563E" w:rsidRPr="00FA563E" w:rsidRDefault="00FA563E">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7571F2">
                        <w:pPr>
                          <w:spacing w:line="150" w:lineRule="atLeast"/>
                          <w:rPr>
                            <w:rFonts w:asciiTheme="minorHAnsi" w:hAnsiTheme="minorHAnsi" w:cs="Arial"/>
                            <w:color w:val="000000"/>
                          </w:rPr>
                        </w:pPr>
                        <w:r w:rsidRPr="00FA563E">
                          <w:rPr>
                            <w:rFonts w:asciiTheme="minorHAnsi" w:hAnsiTheme="minorHAnsi" w:cs="Arial"/>
                            <w:color w:val="000000"/>
                          </w:rPr>
                          <w:t>2/24/14 Work session scheduled.</w:t>
                        </w:r>
                      </w:p>
                    </w:tc>
                  </w:tr>
                  <w:tr w:rsidR="00B314DB"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7571F2">
                        <w:pPr>
                          <w:spacing w:line="165" w:lineRule="atLeast"/>
                          <w:rPr>
                            <w:rFonts w:asciiTheme="minorHAnsi" w:hAnsiTheme="minorHAnsi" w:cs="Arial"/>
                            <w:b/>
                            <w:color w:val="000000"/>
                          </w:rPr>
                        </w:pPr>
                        <w:r w:rsidRPr="00FA563E">
                          <w:rPr>
                            <w:rFonts w:asciiTheme="minorHAnsi" w:hAnsiTheme="minorHAnsi" w:cs="Arial"/>
                            <w:b/>
                            <w:color w:val="000000"/>
                          </w:rPr>
                          <w:lastRenderedPageBreak/>
                          <w:t>21</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4B5BD1">
                        <w:pPr>
                          <w:spacing w:line="165" w:lineRule="atLeast"/>
                          <w:rPr>
                            <w:rFonts w:asciiTheme="minorHAnsi" w:hAnsiTheme="minorHAnsi" w:cs="Arial"/>
                            <w:color w:val="000000"/>
                          </w:rPr>
                        </w:pPr>
                        <w:r w:rsidRPr="00FA563E">
                          <w:rPr>
                            <w:rFonts w:asciiTheme="minorHAnsi" w:hAnsiTheme="minorHAnsi" w:cs="Arial"/>
                            <w:color w:val="000000"/>
                          </w:rPr>
                          <w:t>SB1566A</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4B5BD1">
                        <w:pPr>
                          <w:spacing w:line="150" w:lineRule="atLeast"/>
                          <w:rPr>
                            <w:rFonts w:asciiTheme="minorHAnsi" w:hAnsiTheme="minorHAnsi" w:cs="Arial"/>
                            <w:color w:val="000000"/>
                          </w:rPr>
                        </w:pPr>
                        <w:r w:rsidRPr="00FA563E">
                          <w:rPr>
                            <w:rFonts w:asciiTheme="minorHAnsi" w:hAnsiTheme="minorHAnsi" w:cs="Arial"/>
                            <w:color w:val="000000"/>
                          </w:rPr>
                          <w:t>Relating to State Workforce Investment Board</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863F9" w:rsidRPr="00FA563E" w:rsidRDefault="003863F9" w:rsidP="003863F9">
                        <w:pPr>
                          <w:spacing w:line="300" w:lineRule="atLeast"/>
                          <w:rPr>
                            <w:rFonts w:asciiTheme="minorHAnsi" w:hAnsiTheme="minorHAnsi" w:cs="Arial"/>
                          </w:rPr>
                        </w:pPr>
                        <w:r w:rsidRPr="00FA563E">
                          <w:rPr>
                            <w:rFonts w:asciiTheme="minorHAnsi" w:hAnsiTheme="minorHAnsi" w:cs="Arial"/>
                          </w:rPr>
                          <w:t xml:space="preserve">Declares state public policy to promote coordinated provision of education, employment, economic development and job training. </w:t>
                        </w:r>
                      </w:p>
                      <w:p w:rsidR="003863F9" w:rsidRPr="00FA563E" w:rsidRDefault="003863F9" w:rsidP="003863F9">
                        <w:pPr>
                          <w:spacing w:line="300" w:lineRule="atLeast"/>
                          <w:rPr>
                            <w:rFonts w:asciiTheme="minorHAnsi" w:hAnsiTheme="minorHAnsi" w:cs="Arial"/>
                          </w:rPr>
                        </w:pPr>
                        <w:r w:rsidRPr="00FA563E">
                          <w:rPr>
                            <w:rFonts w:asciiTheme="minorHAnsi" w:hAnsiTheme="minorHAnsi" w:cs="Arial"/>
                          </w:rPr>
                          <w:t>Declares state public policy to promote coordinated provi</w:t>
                        </w:r>
                        <w:r w:rsidR="002852B1">
                          <w:rPr>
                            <w:rFonts w:asciiTheme="minorHAnsi" w:hAnsiTheme="minorHAnsi" w:cs="Arial"/>
                          </w:rPr>
                          <w:t>sion of education, employment, economic development</w:t>
                        </w:r>
                        <w:r w:rsidRPr="00FA563E">
                          <w:rPr>
                            <w:rFonts w:asciiTheme="minorHAnsi" w:hAnsiTheme="minorHAnsi" w:cs="Arial"/>
                          </w:rPr>
                          <w:t xml:space="preserve"> and job training. Assigns new duties to State Workforce In</w:t>
                        </w:r>
                        <w:r w:rsidR="002852B1">
                          <w:rPr>
                            <w:rFonts w:asciiTheme="minorHAnsi" w:hAnsiTheme="minorHAnsi" w:cs="Arial"/>
                          </w:rPr>
                          <w:t xml:space="preserve">vestment Board. </w:t>
                        </w:r>
                        <w:r w:rsidRPr="00FA563E">
                          <w:rPr>
                            <w:rFonts w:asciiTheme="minorHAnsi" w:hAnsiTheme="minorHAnsi" w:cs="Arial"/>
                          </w:rPr>
                          <w:t>Directs Governor to appoint representative of local workforce investment board to State Workforce Investment Board. Requires local workforce investment boards to submit local plans to State Workforce Inv</w:t>
                        </w:r>
                        <w:r w:rsidR="002852B1">
                          <w:rPr>
                            <w:rFonts w:asciiTheme="minorHAnsi" w:hAnsiTheme="minorHAnsi" w:cs="Arial"/>
                          </w:rPr>
                          <w:t xml:space="preserve">estment Board for approval. </w:t>
                        </w:r>
                        <w:r w:rsidRPr="00FA563E">
                          <w:rPr>
                            <w:rFonts w:asciiTheme="minorHAnsi" w:hAnsiTheme="minorHAnsi" w:cs="Arial"/>
                          </w:rPr>
                          <w:t>Abolishes regional workforce committees.</w:t>
                        </w:r>
                      </w:p>
                      <w:p w:rsidR="00B314DB" w:rsidRPr="00FA563E" w:rsidRDefault="00B314DB">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3863F9">
                        <w:pPr>
                          <w:spacing w:line="150" w:lineRule="atLeast"/>
                          <w:rPr>
                            <w:rFonts w:asciiTheme="minorHAnsi" w:hAnsiTheme="minorHAnsi" w:cs="Arial"/>
                            <w:color w:val="000000"/>
                          </w:rPr>
                        </w:pPr>
                        <w:r w:rsidRPr="00FA563E">
                          <w:rPr>
                            <w:rFonts w:asciiTheme="minorHAnsi" w:hAnsiTheme="minorHAnsi" w:cs="Arial"/>
                            <w:color w:val="000000"/>
                          </w:rPr>
                          <w:t>2/24/14 second reading.</w:t>
                        </w:r>
                      </w:p>
                    </w:tc>
                  </w:tr>
                  <w:tr w:rsidR="00B314DB"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3863F9">
                        <w:pPr>
                          <w:spacing w:line="165" w:lineRule="atLeast"/>
                          <w:rPr>
                            <w:rFonts w:asciiTheme="minorHAnsi" w:hAnsiTheme="minorHAnsi" w:cs="Arial"/>
                            <w:b/>
                            <w:color w:val="000000"/>
                          </w:rPr>
                        </w:pPr>
                        <w:r w:rsidRPr="00FA563E">
                          <w:rPr>
                            <w:rFonts w:asciiTheme="minorHAnsi" w:hAnsiTheme="minorHAnsi" w:cs="Arial"/>
                            <w:b/>
                            <w:color w:val="000000"/>
                          </w:rPr>
                          <w:t>22</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3863F9">
                        <w:pPr>
                          <w:spacing w:line="165" w:lineRule="atLeast"/>
                          <w:rPr>
                            <w:rFonts w:asciiTheme="minorHAnsi" w:hAnsiTheme="minorHAnsi" w:cs="Arial"/>
                            <w:color w:val="000000"/>
                          </w:rPr>
                        </w:pPr>
                        <w:r w:rsidRPr="00FA563E">
                          <w:rPr>
                            <w:rFonts w:asciiTheme="minorHAnsi" w:hAnsiTheme="minorHAnsi" w:cs="Arial"/>
                            <w:color w:val="000000"/>
                          </w:rPr>
                          <w:t>SB1574</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3863F9">
                        <w:pPr>
                          <w:spacing w:line="150" w:lineRule="atLeast"/>
                          <w:rPr>
                            <w:rFonts w:asciiTheme="minorHAnsi" w:hAnsiTheme="minorHAnsi" w:cs="Arial"/>
                            <w:color w:val="000000"/>
                          </w:rPr>
                        </w:pPr>
                        <w:r w:rsidRPr="00FA563E">
                          <w:rPr>
                            <w:rFonts w:asciiTheme="minorHAnsi" w:hAnsiTheme="minorHAnsi" w:cs="Arial"/>
                            <w:color w:val="000000"/>
                          </w:rPr>
                          <w:t>Related to accelerated learning</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863F9" w:rsidRPr="00FA563E" w:rsidRDefault="003863F9" w:rsidP="003863F9">
                        <w:pPr>
                          <w:spacing w:line="300" w:lineRule="atLeast"/>
                          <w:rPr>
                            <w:rFonts w:asciiTheme="minorHAnsi" w:hAnsiTheme="minorHAnsi" w:cs="Arial"/>
                          </w:rPr>
                        </w:pPr>
                        <w:r w:rsidRPr="00FA563E">
                          <w:rPr>
                            <w:rFonts w:asciiTheme="minorHAnsi" w:hAnsiTheme="minorHAnsi" w:cs="Arial"/>
                          </w:rPr>
                          <w:t xml:space="preserve">Clarifies that standards for dual credit programs must establish manner by which students in grades 9 through 12 may earn course credit for both high school and community college or public university. </w:t>
                        </w:r>
                      </w:p>
                      <w:p w:rsidR="003863F9" w:rsidRPr="00FA563E" w:rsidRDefault="003863F9" w:rsidP="003863F9">
                        <w:pPr>
                          <w:spacing w:line="300" w:lineRule="atLeast"/>
                          <w:rPr>
                            <w:rFonts w:asciiTheme="minorHAnsi" w:hAnsiTheme="minorHAnsi" w:cs="Arial"/>
                          </w:rPr>
                        </w:pPr>
                        <w:r w:rsidRPr="00FA563E">
                          <w:rPr>
                            <w:rFonts w:asciiTheme="minorHAnsi" w:hAnsiTheme="minorHAnsi" w:cs="Arial"/>
                          </w:rPr>
                          <w:t xml:space="preserve">Modifies duties of </w:t>
                        </w:r>
                        <w:r w:rsidR="002852B1">
                          <w:rPr>
                            <w:rFonts w:asciiTheme="minorHAnsi" w:hAnsiTheme="minorHAnsi" w:cs="Arial"/>
                          </w:rPr>
                          <w:t>Accelerated Learning Committee.</w:t>
                        </w:r>
                        <w:bookmarkStart w:id="1" w:name="_GoBack"/>
                        <w:bookmarkEnd w:id="1"/>
                      </w:p>
                      <w:p w:rsidR="00B314DB" w:rsidRPr="00FA563E" w:rsidRDefault="00B314DB">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3863F9">
                        <w:pPr>
                          <w:spacing w:line="150" w:lineRule="atLeast"/>
                          <w:rPr>
                            <w:rFonts w:asciiTheme="minorHAnsi" w:hAnsiTheme="minorHAnsi" w:cs="Arial"/>
                            <w:color w:val="000000"/>
                          </w:rPr>
                        </w:pPr>
                        <w:r w:rsidRPr="00FA563E">
                          <w:rPr>
                            <w:rFonts w:asciiTheme="minorHAnsi" w:hAnsiTheme="minorHAnsi" w:cs="Arial"/>
                            <w:color w:val="000000"/>
                          </w:rPr>
                          <w:t>2/24/14 Speaker signed</w:t>
                        </w:r>
                      </w:p>
                    </w:tc>
                  </w:tr>
                  <w:tr w:rsidR="00B314DB" w:rsidRPr="00FA563E" w:rsidTr="00FA563E">
                    <w:trPr>
                      <w:tblCellSpacing w:w="15" w:type="dxa"/>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3863F9">
                        <w:pPr>
                          <w:spacing w:line="165" w:lineRule="atLeast"/>
                          <w:rPr>
                            <w:rFonts w:asciiTheme="minorHAnsi" w:hAnsiTheme="minorHAnsi" w:cs="Arial"/>
                            <w:b/>
                            <w:color w:val="000000"/>
                          </w:rPr>
                        </w:pPr>
                        <w:r w:rsidRPr="00FA563E">
                          <w:rPr>
                            <w:rFonts w:asciiTheme="minorHAnsi" w:hAnsiTheme="minorHAnsi" w:cs="Arial"/>
                            <w:b/>
                            <w:color w:val="000000"/>
                          </w:rPr>
                          <w:t>23</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3863F9">
                        <w:pPr>
                          <w:spacing w:line="165" w:lineRule="atLeast"/>
                          <w:rPr>
                            <w:rFonts w:asciiTheme="minorHAnsi" w:hAnsiTheme="minorHAnsi" w:cs="Arial"/>
                            <w:color w:val="000000"/>
                          </w:rPr>
                        </w:pPr>
                        <w:r w:rsidRPr="00FA563E">
                          <w:rPr>
                            <w:rFonts w:asciiTheme="minorHAnsi" w:hAnsiTheme="minorHAnsi" w:cs="Arial"/>
                            <w:color w:val="000000"/>
                          </w:rPr>
                          <w:t>SB1581</w:t>
                        </w:r>
                      </w:p>
                    </w:tc>
                    <w:tc>
                      <w:tcPr>
                        <w:tcW w:w="22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3863F9" w:rsidP="003863F9">
                        <w:pPr>
                          <w:spacing w:line="150" w:lineRule="atLeast"/>
                          <w:rPr>
                            <w:rFonts w:asciiTheme="minorHAnsi" w:hAnsiTheme="minorHAnsi" w:cs="Arial"/>
                            <w:color w:val="000000"/>
                          </w:rPr>
                        </w:pPr>
                        <w:r w:rsidRPr="00FA563E">
                          <w:rPr>
                            <w:rFonts w:asciiTheme="minorHAnsi" w:hAnsiTheme="minorHAnsi" w:cs="Arial"/>
                            <w:color w:val="000000"/>
                          </w:rPr>
                          <w:t>Relating to voter registration</w:t>
                        </w:r>
                      </w:p>
                    </w:tc>
                    <w:tc>
                      <w:tcPr>
                        <w:tcW w:w="4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863F9" w:rsidRPr="00FA563E" w:rsidRDefault="003863F9" w:rsidP="003863F9">
                        <w:pPr>
                          <w:spacing w:line="300" w:lineRule="atLeast"/>
                          <w:rPr>
                            <w:rFonts w:asciiTheme="minorHAnsi" w:hAnsiTheme="minorHAnsi" w:cs="Arial"/>
                          </w:rPr>
                        </w:pPr>
                        <w:r w:rsidRPr="00FA563E">
                          <w:rPr>
                            <w:rFonts w:asciiTheme="minorHAnsi" w:hAnsiTheme="minorHAnsi" w:cs="Arial"/>
                          </w:rPr>
                          <w:t xml:space="preserve">Directs public universities and community colleges to increase voter registration access and information. </w:t>
                        </w:r>
                      </w:p>
                      <w:p w:rsidR="003863F9" w:rsidRPr="00FA563E" w:rsidRDefault="003863F9" w:rsidP="003863F9">
                        <w:pPr>
                          <w:spacing w:line="300" w:lineRule="atLeast"/>
                          <w:rPr>
                            <w:rFonts w:asciiTheme="minorHAnsi" w:hAnsiTheme="minorHAnsi" w:cs="Arial"/>
                          </w:rPr>
                        </w:pPr>
                        <w:r w:rsidRPr="00FA563E">
                          <w:rPr>
                            <w:rFonts w:asciiTheme="minorHAnsi" w:hAnsiTheme="minorHAnsi" w:cs="Arial"/>
                          </w:rPr>
                          <w:t xml:space="preserve">Prohibits public universities and community colleges from considering student voter registration status when determining resident or nonresident classification for tuition purposes. </w:t>
                        </w:r>
                      </w:p>
                      <w:p w:rsidR="00B314DB" w:rsidRPr="00FA563E" w:rsidRDefault="00B314DB">
                        <w:pPr>
                          <w:spacing w:line="150" w:lineRule="atLeast"/>
                          <w:rPr>
                            <w:rFonts w:asciiTheme="minorHAnsi" w:hAnsiTheme="minorHAnsi" w:cs="Arial"/>
                            <w:color w:val="000000"/>
                          </w:rPr>
                        </w:pPr>
                      </w:p>
                    </w:tc>
                    <w:tc>
                      <w:tcPr>
                        <w:tcW w:w="1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14DB" w:rsidRPr="00FA563E" w:rsidRDefault="003863F9">
                        <w:pPr>
                          <w:spacing w:line="150" w:lineRule="atLeast"/>
                          <w:rPr>
                            <w:rFonts w:asciiTheme="minorHAnsi" w:hAnsiTheme="minorHAnsi" w:cs="Arial"/>
                            <w:color w:val="000000"/>
                          </w:rPr>
                        </w:pPr>
                        <w:r w:rsidRPr="00FA563E">
                          <w:rPr>
                            <w:rFonts w:asciiTheme="minorHAnsi" w:hAnsiTheme="minorHAnsi" w:cs="Arial"/>
                            <w:color w:val="000000"/>
                          </w:rPr>
                          <w:t>2/19/14 Public hearing held</w:t>
                        </w:r>
                      </w:p>
                    </w:tc>
                  </w:tr>
                </w:tbl>
                <w:p w:rsidR="00B656F9" w:rsidRPr="00FA563E" w:rsidRDefault="00B656F9">
                  <w:pPr>
                    <w:spacing w:after="200" w:line="276" w:lineRule="auto"/>
                    <w:rPr>
                      <w:rFonts w:asciiTheme="minorHAnsi" w:hAnsiTheme="minorHAnsi" w:cs="Arial"/>
                    </w:rPr>
                  </w:pPr>
                </w:p>
              </w:tc>
            </w:tr>
          </w:tbl>
          <w:p w:rsidR="00B656F9" w:rsidRPr="00FA563E" w:rsidRDefault="00B656F9">
            <w:pPr>
              <w:spacing w:after="200" w:line="276" w:lineRule="auto"/>
              <w:jc w:val="center"/>
              <w:rPr>
                <w:rFonts w:asciiTheme="minorHAnsi" w:hAnsiTheme="minorHAnsi" w:cs="Arial"/>
              </w:rPr>
            </w:pPr>
          </w:p>
        </w:tc>
      </w:tr>
    </w:tbl>
    <w:p w:rsidR="00B656F9" w:rsidRPr="00FA563E" w:rsidRDefault="00B656F9" w:rsidP="00B656F9">
      <w:pPr>
        <w:pBdr>
          <w:top w:val="single" w:sz="6" w:space="1" w:color="auto"/>
        </w:pBdr>
        <w:rPr>
          <w:rFonts w:asciiTheme="minorHAnsi" w:hAnsiTheme="minorHAnsi"/>
          <w:vanish/>
        </w:rPr>
      </w:pPr>
      <w:r w:rsidRPr="00FA563E">
        <w:rPr>
          <w:rFonts w:asciiTheme="minorHAnsi" w:hAnsiTheme="minorHAnsi"/>
          <w:vanish/>
        </w:rPr>
        <w:lastRenderedPageBreak/>
        <w:t>Bottom of Form</w:t>
      </w:r>
    </w:p>
    <w:p w:rsidR="00B656F9" w:rsidRPr="00FA563E" w:rsidRDefault="00B656F9" w:rsidP="00B656F9">
      <w:pPr>
        <w:rPr>
          <w:rFonts w:asciiTheme="minorHAnsi" w:eastAsiaTheme="minorHAnsi" w:hAnsiTheme="minorHAnsi"/>
        </w:rPr>
      </w:pPr>
    </w:p>
    <w:p w:rsidR="00C63708" w:rsidRPr="00FA563E" w:rsidRDefault="00C63708" w:rsidP="003E522C">
      <w:pPr>
        <w:rPr>
          <w:rFonts w:asciiTheme="minorHAnsi" w:hAnsiTheme="minorHAnsi"/>
        </w:rPr>
      </w:pPr>
    </w:p>
    <w:sectPr w:rsidR="00C63708" w:rsidRPr="00FA563E" w:rsidSect="00FA563E">
      <w:footerReference w:type="even" r:id="rId8"/>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D2" w:rsidRDefault="004D0FD2">
      <w:r>
        <w:separator/>
      </w:r>
    </w:p>
  </w:endnote>
  <w:endnote w:type="continuationSeparator" w:id="0">
    <w:p w:rsidR="004D0FD2" w:rsidRDefault="004D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14" w:rsidRDefault="00977D31" w:rsidP="005A334C">
    <w:pPr>
      <w:pStyle w:val="Footer"/>
      <w:framePr w:wrap="around" w:vAnchor="text" w:hAnchor="margin" w:xAlign="right" w:y="1"/>
      <w:rPr>
        <w:rStyle w:val="PageNumber"/>
      </w:rPr>
    </w:pPr>
    <w:r>
      <w:rPr>
        <w:rStyle w:val="PageNumber"/>
      </w:rPr>
      <w:fldChar w:fldCharType="begin"/>
    </w:r>
    <w:r w:rsidR="00C71514">
      <w:rPr>
        <w:rStyle w:val="PageNumber"/>
      </w:rPr>
      <w:instrText xml:space="preserve">PAGE  </w:instrText>
    </w:r>
    <w:r>
      <w:rPr>
        <w:rStyle w:val="PageNumber"/>
      </w:rPr>
      <w:fldChar w:fldCharType="end"/>
    </w:r>
  </w:p>
  <w:p w:rsidR="00C71514" w:rsidRDefault="00C71514" w:rsidP="005A3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826319"/>
      <w:docPartObj>
        <w:docPartGallery w:val="Page Numbers (Bottom of Page)"/>
        <w:docPartUnique/>
      </w:docPartObj>
    </w:sdtPr>
    <w:sdtEndPr>
      <w:rPr>
        <w:noProof/>
      </w:rPr>
    </w:sdtEndPr>
    <w:sdtContent>
      <w:p w:rsidR="001A5FDC" w:rsidRDefault="006958C3">
        <w:pPr>
          <w:pStyle w:val="Footer"/>
          <w:jc w:val="right"/>
        </w:pPr>
        <w:r>
          <w:fldChar w:fldCharType="begin"/>
        </w:r>
        <w:r>
          <w:instrText xml:space="preserve"> PAGE   \* MERGEFORMAT </w:instrText>
        </w:r>
        <w:r>
          <w:fldChar w:fldCharType="separate"/>
        </w:r>
        <w:r w:rsidR="002852B1">
          <w:rPr>
            <w:noProof/>
          </w:rPr>
          <w:t>6</w:t>
        </w:r>
        <w:r>
          <w:rPr>
            <w:noProof/>
          </w:rPr>
          <w:fldChar w:fldCharType="end"/>
        </w:r>
      </w:p>
    </w:sdtContent>
  </w:sdt>
  <w:p w:rsidR="00C71514" w:rsidRPr="00D0690B" w:rsidRDefault="00C71514" w:rsidP="005A33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D2" w:rsidRDefault="004D0FD2">
      <w:r>
        <w:separator/>
      </w:r>
    </w:p>
  </w:footnote>
  <w:footnote w:type="continuationSeparator" w:id="0">
    <w:p w:rsidR="004D0FD2" w:rsidRDefault="004D0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4301"/>
    <w:multiLevelType w:val="hybridMultilevel"/>
    <w:tmpl w:val="800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D7626"/>
    <w:multiLevelType w:val="hybridMultilevel"/>
    <w:tmpl w:val="929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72A55"/>
    <w:multiLevelType w:val="hybridMultilevel"/>
    <w:tmpl w:val="5D3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F763E"/>
    <w:multiLevelType w:val="hybridMultilevel"/>
    <w:tmpl w:val="12083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744FDF"/>
    <w:multiLevelType w:val="hybridMultilevel"/>
    <w:tmpl w:val="B2FAA7EA"/>
    <w:lvl w:ilvl="0" w:tplc="04090015">
      <w:start w:val="1"/>
      <w:numFmt w:val="upperLetter"/>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342E6C"/>
    <w:multiLevelType w:val="hybridMultilevel"/>
    <w:tmpl w:val="553EB5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4029E6"/>
    <w:multiLevelType w:val="hybridMultilevel"/>
    <w:tmpl w:val="D88E6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C87FC5"/>
    <w:multiLevelType w:val="hybridMultilevel"/>
    <w:tmpl w:val="E02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4718B"/>
    <w:multiLevelType w:val="hybridMultilevel"/>
    <w:tmpl w:val="821C0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21D30"/>
    <w:multiLevelType w:val="hybridMultilevel"/>
    <w:tmpl w:val="E424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1B4D51"/>
    <w:multiLevelType w:val="hybridMultilevel"/>
    <w:tmpl w:val="C5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63304"/>
    <w:multiLevelType w:val="hybridMultilevel"/>
    <w:tmpl w:val="AA8AF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BD0D12"/>
    <w:multiLevelType w:val="hybridMultilevel"/>
    <w:tmpl w:val="5B7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A0C15"/>
    <w:multiLevelType w:val="hybridMultilevel"/>
    <w:tmpl w:val="ADC25A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33C49F4"/>
    <w:multiLevelType w:val="hybridMultilevel"/>
    <w:tmpl w:val="9A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F2285"/>
    <w:multiLevelType w:val="hybridMultilevel"/>
    <w:tmpl w:val="E564C354"/>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C74FD"/>
    <w:multiLevelType w:val="hybridMultilevel"/>
    <w:tmpl w:val="C1E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00DF6"/>
    <w:multiLevelType w:val="hybridMultilevel"/>
    <w:tmpl w:val="AF7A7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FB54CC"/>
    <w:multiLevelType w:val="hybridMultilevel"/>
    <w:tmpl w:val="AB2C2DD0"/>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C0362"/>
    <w:multiLevelType w:val="hybridMultilevel"/>
    <w:tmpl w:val="EECE1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9"/>
  </w:num>
  <w:num w:numId="4">
    <w:abstractNumId w:val="16"/>
  </w:num>
  <w:num w:numId="5">
    <w:abstractNumId w:val="1"/>
  </w:num>
  <w:num w:numId="6">
    <w:abstractNumId w:val="8"/>
  </w:num>
  <w:num w:numId="7">
    <w:abstractNumId w:val="15"/>
  </w:num>
  <w:num w:numId="8">
    <w:abstractNumId w:val="6"/>
  </w:num>
  <w:num w:numId="9">
    <w:abstractNumId w:val="0"/>
  </w:num>
  <w:num w:numId="10">
    <w:abstractNumId w:val="2"/>
  </w:num>
  <w:num w:numId="11">
    <w:abstractNumId w:val="18"/>
  </w:num>
  <w:num w:numId="12">
    <w:abstractNumId w:val="18"/>
  </w:num>
  <w:num w:numId="13">
    <w:abstractNumId w:val="9"/>
  </w:num>
  <w:num w:numId="14">
    <w:abstractNumId w:val="5"/>
  </w:num>
  <w:num w:numId="15">
    <w:abstractNumId w:val="3"/>
  </w:num>
  <w:num w:numId="16">
    <w:abstractNumId w:val="4"/>
  </w:num>
  <w:num w:numId="17">
    <w:abstractNumId w:val="20"/>
  </w:num>
  <w:num w:numId="18">
    <w:abstractNumId w:val="10"/>
  </w:num>
  <w:num w:numId="19">
    <w:abstractNumId w:val="14"/>
  </w:num>
  <w:num w:numId="20">
    <w:abstractNumId w:val="13"/>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166A4"/>
    <w:rsid w:val="00027ADB"/>
    <w:rsid w:val="00035C6F"/>
    <w:rsid w:val="000427C2"/>
    <w:rsid w:val="000519CD"/>
    <w:rsid w:val="000710DC"/>
    <w:rsid w:val="00077FD8"/>
    <w:rsid w:val="00084BFC"/>
    <w:rsid w:val="000D217E"/>
    <w:rsid w:val="00145D50"/>
    <w:rsid w:val="001A25F5"/>
    <w:rsid w:val="001A51F4"/>
    <w:rsid w:val="001A5FDC"/>
    <w:rsid w:val="001C599A"/>
    <w:rsid w:val="002269EB"/>
    <w:rsid w:val="00252098"/>
    <w:rsid w:val="002526EF"/>
    <w:rsid w:val="002664B7"/>
    <w:rsid w:val="00274317"/>
    <w:rsid w:val="00275F37"/>
    <w:rsid w:val="002852B1"/>
    <w:rsid w:val="00296CF0"/>
    <w:rsid w:val="002B3D34"/>
    <w:rsid w:val="002D0DFF"/>
    <w:rsid w:val="00301B2B"/>
    <w:rsid w:val="00302FB2"/>
    <w:rsid w:val="00346C72"/>
    <w:rsid w:val="003649D8"/>
    <w:rsid w:val="00364FF8"/>
    <w:rsid w:val="003863F9"/>
    <w:rsid w:val="003A5F77"/>
    <w:rsid w:val="003B6E57"/>
    <w:rsid w:val="003E522C"/>
    <w:rsid w:val="003E6FB2"/>
    <w:rsid w:val="003F3252"/>
    <w:rsid w:val="0044306A"/>
    <w:rsid w:val="004A1EF3"/>
    <w:rsid w:val="004B5BD1"/>
    <w:rsid w:val="004C72E9"/>
    <w:rsid w:val="004D01C2"/>
    <w:rsid w:val="004D0FD2"/>
    <w:rsid w:val="004D59A9"/>
    <w:rsid w:val="004E4B7F"/>
    <w:rsid w:val="0050280A"/>
    <w:rsid w:val="005116EC"/>
    <w:rsid w:val="00544B97"/>
    <w:rsid w:val="005501EA"/>
    <w:rsid w:val="00561AF9"/>
    <w:rsid w:val="00562AB7"/>
    <w:rsid w:val="005821F0"/>
    <w:rsid w:val="00586992"/>
    <w:rsid w:val="005A334C"/>
    <w:rsid w:val="005D6CD4"/>
    <w:rsid w:val="00607826"/>
    <w:rsid w:val="00624E49"/>
    <w:rsid w:val="00630D92"/>
    <w:rsid w:val="006423F3"/>
    <w:rsid w:val="006958C3"/>
    <w:rsid w:val="006958FB"/>
    <w:rsid w:val="006A1AAE"/>
    <w:rsid w:val="006A46B7"/>
    <w:rsid w:val="006B633F"/>
    <w:rsid w:val="006E5C67"/>
    <w:rsid w:val="00701458"/>
    <w:rsid w:val="00702194"/>
    <w:rsid w:val="00706E02"/>
    <w:rsid w:val="00707F90"/>
    <w:rsid w:val="007228B0"/>
    <w:rsid w:val="007571F2"/>
    <w:rsid w:val="00763813"/>
    <w:rsid w:val="007D6C98"/>
    <w:rsid w:val="007E6818"/>
    <w:rsid w:val="007F6A54"/>
    <w:rsid w:val="007F6DD0"/>
    <w:rsid w:val="00805A76"/>
    <w:rsid w:val="008120D3"/>
    <w:rsid w:val="00814FDF"/>
    <w:rsid w:val="0084549B"/>
    <w:rsid w:val="008476AA"/>
    <w:rsid w:val="00863C21"/>
    <w:rsid w:val="00871A3C"/>
    <w:rsid w:val="008773D3"/>
    <w:rsid w:val="008B4AC9"/>
    <w:rsid w:val="008B6F8C"/>
    <w:rsid w:val="008C3F41"/>
    <w:rsid w:val="008D59AF"/>
    <w:rsid w:val="008F563E"/>
    <w:rsid w:val="00914CE8"/>
    <w:rsid w:val="0091513B"/>
    <w:rsid w:val="0092299C"/>
    <w:rsid w:val="00946866"/>
    <w:rsid w:val="00947754"/>
    <w:rsid w:val="009611BF"/>
    <w:rsid w:val="00963EF8"/>
    <w:rsid w:val="009659AB"/>
    <w:rsid w:val="00977D31"/>
    <w:rsid w:val="009B76B0"/>
    <w:rsid w:val="00A04EA4"/>
    <w:rsid w:val="00A16AC9"/>
    <w:rsid w:val="00A452D3"/>
    <w:rsid w:val="00A467FF"/>
    <w:rsid w:val="00AA1A76"/>
    <w:rsid w:val="00AB1E6A"/>
    <w:rsid w:val="00AB43A3"/>
    <w:rsid w:val="00AB67AC"/>
    <w:rsid w:val="00AC1CDC"/>
    <w:rsid w:val="00B314DB"/>
    <w:rsid w:val="00B42051"/>
    <w:rsid w:val="00B5485E"/>
    <w:rsid w:val="00B55D8F"/>
    <w:rsid w:val="00B656F9"/>
    <w:rsid w:val="00BA1D4A"/>
    <w:rsid w:val="00BA354C"/>
    <w:rsid w:val="00BB0C8A"/>
    <w:rsid w:val="00BB551B"/>
    <w:rsid w:val="00BC2B34"/>
    <w:rsid w:val="00BD78AE"/>
    <w:rsid w:val="00C0171C"/>
    <w:rsid w:val="00C12E71"/>
    <w:rsid w:val="00C3158F"/>
    <w:rsid w:val="00C63708"/>
    <w:rsid w:val="00C71514"/>
    <w:rsid w:val="00C9261C"/>
    <w:rsid w:val="00CA018D"/>
    <w:rsid w:val="00CB217F"/>
    <w:rsid w:val="00CB6B48"/>
    <w:rsid w:val="00CC1158"/>
    <w:rsid w:val="00CC5834"/>
    <w:rsid w:val="00CC5BC2"/>
    <w:rsid w:val="00CF67CE"/>
    <w:rsid w:val="00D0690B"/>
    <w:rsid w:val="00D27616"/>
    <w:rsid w:val="00D50257"/>
    <w:rsid w:val="00D95B54"/>
    <w:rsid w:val="00DA1BA8"/>
    <w:rsid w:val="00DA1BED"/>
    <w:rsid w:val="00DB2A87"/>
    <w:rsid w:val="00DB76EE"/>
    <w:rsid w:val="00DD0681"/>
    <w:rsid w:val="00DD1EB0"/>
    <w:rsid w:val="00DD34B3"/>
    <w:rsid w:val="00DF30E2"/>
    <w:rsid w:val="00E17CB1"/>
    <w:rsid w:val="00E31EF9"/>
    <w:rsid w:val="00E37199"/>
    <w:rsid w:val="00E610C7"/>
    <w:rsid w:val="00E93797"/>
    <w:rsid w:val="00EB3D53"/>
    <w:rsid w:val="00F229C2"/>
    <w:rsid w:val="00F42A4D"/>
    <w:rsid w:val="00F61748"/>
    <w:rsid w:val="00F847E3"/>
    <w:rsid w:val="00FA3978"/>
    <w:rsid w:val="00FA563E"/>
    <w:rsid w:val="00FC5BCD"/>
    <w:rsid w:val="00FD49E3"/>
    <w:rsid w:val="00FE67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uiPriority w:val="99"/>
    <w:rsid w:val="00E37199"/>
    <w:pPr>
      <w:tabs>
        <w:tab w:val="center" w:pos="4320"/>
        <w:tab w:val="right" w:pos="8640"/>
      </w:tabs>
    </w:pPr>
  </w:style>
  <w:style w:type="character" w:customStyle="1" w:styleId="FooterChar">
    <w:name w:val="Footer Char"/>
    <w:basedOn w:val="DefaultParagraphFont"/>
    <w:link w:val="Footer"/>
    <w:uiPriority w:val="99"/>
    <w:locked/>
    <w:rsid w:val="00E37199"/>
    <w:rPr>
      <w:rFonts w:ascii="Arial" w:hAnsi="Arial" w:cs="Times New Roman"/>
      <w:sz w:val="24"/>
      <w:szCs w:val="24"/>
    </w:rPr>
  </w:style>
  <w:style w:type="character" w:styleId="PageNumber">
    <w:name w:val="page number"/>
    <w:basedOn w:val="DefaultParagraphFont"/>
    <w:uiPriority w:val="99"/>
    <w:rsid w:val="00E37199"/>
    <w:rPr>
      <w:rFonts w:cs="Times New Roman"/>
    </w:rPr>
  </w:style>
  <w:style w:type="paragraph" w:styleId="Header">
    <w:name w:val="header"/>
    <w:basedOn w:val="Normal"/>
    <w:link w:val="HeaderChar"/>
    <w:rsid w:val="00C0171C"/>
    <w:pPr>
      <w:tabs>
        <w:tab w:val="center" w:pos="4680"/>
        <w:tab w:val="right" w:pos="9360"/>
      </w:tabs>
    </w:pPr>
  </w:style>
  <w:style w:type="character" w:customStyle="1" w:styleId="HeaderChar">
    <w:name w:val="Header Char"/>
    <w:basedOn w:val="DefaultParagraphFont"/>
    <w:link w:val="Header"/>
    <w:rsid w:val="00C0171C"/>
    <w:rPr>
      <w:rFonts w:ascii="Arial" w:hAnsi="Arial"/>
      <w:sz w:val="24"/>
      <w:szCs w:val="24"/>
    </w:rPr>
  </w:style>
  <w:style w:type="paragraph" w:styleId="BalloonText">
    <w:name w:val="Balloon Text"/>
    <w:basedOn w:val="Normal"/>
    <w:link w:val="BalloonTextChar"/>
    <w:rsid w:val="000D217E"/>
    <w:rPr>
      <w:rFonts w:ascii="Tahoma" w:hAnsi="Tahoma" w:cs="Tahoma"/>
      <w:sz w:val="16"/>
      <w:szCs w:val="16"/>
    </w:rPr>
  </w:style>
  <w:style w:type="character" w:customStyle="1" w:styleId="BalloonTextChar">
    <w:name w:val="Balloon Text Char"/>
    <w:basedOn w:val="DefaultParagraphFont"/>
    <w:link w:val="BalloonText"/>
    <w:rsid w:val="000D2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uiPriority w:val="99"/>
    <w:rsid w:val="00E37199"/>
    <w:pPr>
      <w:tabs>
        <w:tab w:val="center" w:pos="4320"/>
        <w:tab w:val="right" w:pos="8640"/>
      </w:tabs>
    </w:pPr>
  </w:style>
  <w:style w:type="character" w:customStyle="1" w:styleId="FooterChar">
    <w:name w:val="Footer Char"/>
    <w:basedOn w:val="DefaultParagraphFont"/>
    <w:link w:val="Footer"/>
    <w:uiPriority w:val="99"/>
    <w:locked/>
    <w:rsid w:val="00E37199"/>
    <w:rPr>
      <w:rFonts w:ascii="Arial" w:hAnsi="Arial" w:cs="Times New Roman"/>
      <w:sz w:val="24"/>
      <w:szCs w:val="24"/>
    </w:rPr>
  </w:style>
  <w:style w:type="character" w:styleId="PageNumber">
    <w:name w:val="page number"/>
    <w:basedOn w:val="DefaultParagraphFont"/>
    <w:uiPriority w:val="99"/>
    <w:rsid w:val="00E37199"/>
    <w:rPr>
      <w:rFonts w:cs="Times New Roman"/>
    </w:rPr>
  </w:style>
  <w:style w:type="paragraph" w:styleId="Header">
    <w:name w:val="header"/>
    <w:basedOn w:val="Normal"/>
    <w:link w:val="HeaderChar"/>
    <w:rsid w:val="00C0171C"/>
    <w:pPr>
      <w:tabs>
        <w:tab w:val="center" w:pos="4680"/>
        <w:tab w:val="right" w:pos="9360"/>
      </w:tabs>
    </w:pPr>
  </w:style>
  <w:style w:type="character" w:customStyle="1" w:styleId="HeaderChar">
    <w:name w:val="Header Char"/>
    <w:basedOn w:val="DefaultParagraphFont"/>
    <w:link w:val="Header"/>
    <w:rsid w:val="00C0171C"/>
    <w:rPr>
      <w:rFonts w:ascii="Arial" w:hAnsi="Arial"/>
      <w:sz w:val="24"/>
      <w:szCs w:val="24"/>
    </w:rPr>
  </w:style>
  <w:style w:type="paragraph" w:styleId="BalloonText">
    <w:name w:val="Balloon Text"/>
    <w:basedOn w:val="Normal"/>
    <w:link w:val="BalloonTextChar"/>
    <w:rsid w:val="000D217E"/>
    <w:rPr>
      <w:rFonts w:ascii="Tahoma" w:hAnsi="Tahoma" w:cs="Tahoma"/>
      <w:sz w:val="16"/>
      <w:szCs w:val="16"/>
    </w:rPr>
  </w:style>
  <w:style w:type="character" w:customStyle="1" w:styleId="BalloonTextChar">
    <w:name w:val="Balloon Text Char"/>
    <w:basedOn w:val="DefaultParagraphFont"/>
    <w:link w:val="BalloonText"/>
    <w:rsid w:val="000D2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4539">
      <w:bodyDiv w:val="1"/>
      <w:marLeft w:val="0"/>
      <w:marRight w:val="0"/>
      <w:marTop w:val="0"/>
      <w:marBottom w:val="0"/>
      <w:divBdr>
        <w:top w:val="none" w:sz="0" w:space="0" w:color="auto"/>
        <w:left w:val="none" w:sz="0" w:space="0" w:color="auto"/>
        <w:bottom w:val="none" w:sz="0" w:space="0" w:color="auto"/>
        <w:right w:val="none" w:sz="0" w:space="0" w:color="auto"/>
      </w:divBdr>
    </w:div>
    <w:div w:id="528183589">
      <w:bodyDiv w:val="1"/>
      <w:marLeft w:val="0"/>
      <w:marRight w:val="0"/>
      <w:marTop w:val="0"/>
      <w:marBottom w:val="0"/>
      <w:divBdr>
        <w:top w:val="none" w:sz="0" w:space="0" w:color="auto"/>
        <w:left w:val="none" w:sz="0" w:space="0" w:color="auto"/>
        <w:bottom w:val="none" w:sz="0" w:space="0" w:color="auto"/>
        <w:right w:val="none" w:sz="0" w:space="0" w:color="auto"/>
      </w:divBdr>
      <w:divsChild>
        <w:div w:id="497694434">
          <w:marLeft w:val="0"/>
          <w:marRight w:val="0"/>
          <w:marTop w:val="0"/>
          <w:marBottom w:val="0"/>
          <w:divBdr>
            <w:top w:val="none" w:sz="0" w:space="0" w:color="auto"/>
            <w:left w:val="none" w:sz="0" w:space="0" w:color="auto"/>
            <w:bottom w:val="none" w:sz="0" w:space="0" w:color="auto"/>
            <w:right w:val="none" w:sz="0" w:space="0" w:color="auto"/>
          </w:divBdr>
          <w:divsChild>
            <w:div w:id="1597906663">
              <w:marLeft w:val="0"/>
              <w:marRight w:val="0"/>
              <w:marTop w:val="0"/>
              <w:marBottom w:val="0"/>
              <w:divBdr>
                <w:top w:val="none" w:sz="0" w:space="0" w:color="auto"/>
                <w:left w:val="none" w:sz="0" w:space="0" w:color="auto"/>
                <w:bottom w:val="none" w:sz="0" w:space="0" w:color="auto"/>
                <w:right w:val="none" w:sz="0" w:space="0" w:color="auto"/>
              </w:divBdr>
              <w:divsChild>
                <w:div w:id="747726514">
                  <w:marLeft w:val="0"/>
                  <w:marRight w:val="0"/>
                  <w:marTop w:val="0"/>
                  <w:marBottom w:val="0"/>
                  <w:divBdr>
                    <w:top w:val="none" w:sz="0" w:space="0" w:color="auto"/>
                    <w:left w:val="none" w:sz="0" w:space="0" w:color="auto"/>
                    <w:bottom w:val="none" w:sz="0" w:space="0" w:color="auto"/>
                    <w:right w:val="none" w:sz="0" w:space="0" w:color="auto"/>
                  </w:divBdr>
                  <w:divsChild>
                    <w:div w:id="2033342641">
                      <w:marLeft w:val="0"/>
                      <w:marRight w:val="0"/>
                      <w:marTop w:val="0"/>
                      <w:marBottom w:val="0"/>
                      <w:divBdr>
                        <w:top w:val="none" w:sz="0" w:space="0" w:color="auto"/>
                        <w:left w:val="none" w:sz="0" w:space="0" w:color="auto"/>
                        <w:bottom w:val="none" w:sz="0" w:space="0" w:color="auto"/>
                        <w:right w:val="none" w:sz="0" w:space="0" w:color="auto"/>
                      </w:divBdr>
                      <w:divsChild>
                        <w:div w:id="5932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848065">
      <w:bodyDiv w:val="1"/>
      <w:marLeft w:val="0"/>
      <w:marRight w:val="0"/>
      <w:marTop w:val="0"/>
      <w:marBottom w:val="0"/>
      <w:divBdr>
        <w:top w:val="none" w:sz="0" w:space="0" w:color="auto"/>
        <w:left w:val="none" w:sz="0" w:space="0" w:color="auto"/>
        <w:bottom w:val="none" w:sz="0" w:space="0" w:color="auto"/>
        <w:right w:val="none" w:sz="0" w:space="0" w:color="auto"/>
      </w:divBdr>
      <w:divsChild>
        <w:div w:id="1139230122">
          <w:marLeft w:val="0"/>
          <w:marRight w:val="0"/>
          <w:marTop w:val="0"/>
          <w:marBottom w:val="0"/>
          <w:divBdr>
            <w:top w:val="none" w:sz="0" w:space="0" w:color="auto"/>
            <w:left w:val="none" w:sz="0" w:space="0" w:color="auto"/>
            <w:bottom w:val="none" w:sz="0" w:space="0" w:color="auto"/>
            <w:right w:val="none" w:sz="0" w:space="0" w:color="auto"/>
          </w:divBdr>
          <w:divsChild>
            <w:div w:id="1723092165">
              <w:marLeft w:val="0"/>
              <w:marRight w:val="0"/>
              <w:marTop w:val="0"/>
              <w:marBottom w:val="0"/>
              <w:divBdr>
                <w:top w:val="none" w:sz="0" w:space="0" w:color="auto"/>
                <w:left w:val="none" w:sz="0" w:space="0" w:color="auto"/>
                <w:bottom w:val="none" w:sz="0" w:space="0" w:color="auto"/>
                <w:right w:val="none" w:sz="0" w:space="0" w:color="auto"/>
              </w:divBdr>
              <w:divsChild>
                <w:div w:id="1411997535">
                  <w:marLeft w:val="0"/>
                  <w:marRight w:val="0"/>
                  <w:marTop w:val="0"/>
                  <w:marBottom w:val="0"/>
                  <w:divBdr>
                    <w:top w:val="none" w:sz="0" w:space="0" w:color="auto"/>
                    <w:left w:val="none" w:sz="0" w:space="0" w:color="auto"/>
                    <w:bottom w:val="none" w:sz="0" w:space="0" w:color="auto"/>
                    <w:right w:val="none" w:sz="0" w:space="0" w:color="auto"/>
                  </w:divBdr>
                  <w:divsChild>
                    <w:div w:id="1368527335">
                      <w:marLeft w:val="0"/>
                      <w:marRight w:val="0"/>
                      <w:marTop w:val="0"/>
                      <w:marBottom w:val="0"/>
                      <w:divBdr>
                        <w:top w:val="none" w:sz="0" w:space="0" w:color="auto"/>
                        <w:left w:val="none" w:sz="0" w:space="0" w:color="auto"/>
                        <w:bottom w:val="none" w:sz="0" w:space="0" w:color="auto"/>
                        <w:right w:val="none" w:sz="0" w:space="0" w:color="auto"/>
                      </w:divBdr>
                      <w:divsChild>
                        <w:div w:id="381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1072">
      <w:bodyDiv w:val="1"/>
      <w:marLeft w:val="0"/>
      <w:marRight w:val="0"/>
      <w:marTop w:val="0"/>
      <w:marBottom w:val="0"/>
      <w:divBdr>
        <w:top w:val="none" w:sz="0" w:space="0" w:color="auto"/>
        <w:left w:val="none" w:sz="0" w:space="0" w:color="auto"/>
        <w:bottom w:val="none" w:sz="0" w:space="0" w:color="auto"/>
        <w:right w:val="none" w:sz="0" w:space="0" w:color="auto"/>
      </w:divBdr>
    </w:div>
    <w:div w:id="1134835662">
      <w:bodyDiv w:val="1"/>
      <w:marLeft w:val="0"/>
      <w:marRight w:val="0"/>
      <w:marTop w:val="0"/>
      <w:marBottom w:val="0"/>
      <w:divBdr>
        <w:top w:val="none" w:sz="0" w:space="0" w:color="auto"/>
        <w:left w:val="none" w:sz="0" w:space="0" w:color="auto"/>
        <w:bottom w:val="none" w:sz="0" w:space="0" w:color="auto"/>
        <w:right w:val="none" w:sz="0" w:space="0" w:color="auto"/>
      </w:divBdr>
    </w:div>
    <w:div w:id="1191607364">
      <w:bodyDiv w:val="1"/>
      <w:marLeft w:val="0"/>
      <w:marRight w:val="0"/>
      <w:marTop w:val="0"/>
      <w:marBottom w:val="0"/>
      <w:divBdr>
        <w:top w:val="none" w:sz="0" w:space="0" w:color="auto"/>
        <w:left w:val="none" w:sz="0" w:space="0" w:color="auto"/>
        <w:bottom w:val="none" w:sz="0" w:space="0" w:color="auto"/>
        <w:right w:val="none" w:sz="0" w:space="0" w:color="auto"/>
      </w:divBdr>
      <w:divsChild>
        <w:div w:id="49575406">
          <w:marLeft w:val="0"/>
          <w:marRight w:val="0"/>
          <w:marTop w:val="0"/>
          <w:marBottom w:val="0"/>
          <w:divBdr>
            <w:top w:val="none" w:sz="0" w:space="0" w:color="auto"/>
            <w:left w:val="none" w:sz="0" w:space="0" w:color="auto"/>
            <w:bottom w:val="none" w:sz="0" w:space="0" w:color="auto"/>
            <w:right w:val="none" w:sz="0" w:space="0" w:color="auto"/>
          </w:divBdr>
          <w:divsChild>
            <w:div w:id="1906184447">
              <w:marLeft w:val="0"/>
              <w:marRight w:val="0"/>
              <w:marTop w:val="0"/>
              <w:marBottom w:val="0"/>
              <w:divBdr>
                <w:top w:val="none" w:sz="0" w:space="0" w:color="auto"/>
                <w:left w:val="none" w:sz="0" w:space="0" w:color="auto"/>
                <w:bottom w:val="none" w:sz="0" w:space="0" w:color="auto"/>
                <w:right w:val="none" w:sz="0" w:space="0" w:color="auto"/>
              </w:divBdr>
              <w:divsChild>
                <w:div w:id="761688285">
                  <w:marLeft w:val="0"/>
                  <w:marRight w:val="0"/>
                  <w:marTop w:val="0"/>
                  <w:marBottom w:val="0"/>
                  <w:divBdr>
                    <w:top w:val="none" w:sz="0" w:space="0" w:color="auto"/>
                    <w:left w:val="none" w:sz="0" w:space="0" w:color="auto"/>
                    <w:bottom w:val="none" w:sz="0" w:space="0" w:color="auto"/>
                    <w:right w:val="none" w:sz="0" w:space="0" w:color="auto"/>
                  </w:divBdr>
                  <w:divsChild>
                    <w:div w:id="1301888012">
                      <w:marLeft w:val="0"/>
                      <w:marRight w:val="0"/>
                      <w:marTop w:val="0"/>
                      <w:marBottom w:val="0"/>
                      <w:divBdr>
                        <w:top w:val="none" w:sz="0" w:space="0" w:color="auto"/>
                        <w:left w:val="none" w:sz="0" w:space="0" w:color="auto"/>
                        <w:bottom w:val="none" w:sz="0" w:space="0" w:color="auto"/>
                        <w:right w:val="none" w:sz="0" w:space="0" w:color="auto"/>
                      </w:divBdr>
                      <w:divsChild>
                        <w:div w:id="8012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2020-07-18T14:50:13+00:00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5D527-3EA9-4F0A-B0AB-54D1559BF9AF}"/>
</file>

<file path=customXml/itemProps2.xml><?xml version="1.0" encoding="utf-8"?>
<ds:datastoreItem xmlns:ds="http://schemas.openxmlformats.org/officeDocument/2006/customXml" ds:itemID="{A091AD85-1680-4F92-9306-F56B0DAE1B4E}"/>
</file>

<file path=customXml/itemProps3.xml><?xml version="1.0" encoding="utf-8"?>
<ds:datastoreItem xmlns:ds="http://schemas.openxmlformats.org/officeDocument/2006/customXml" ds:itemID="{972D5154-72E9-4CCC-B6CC-E47CC56165FF}"/>
</file>

<file path=docProps/app.xml><?xml version="1.0" encoding="utf-8"?>
<Properties xmlns="http://schemas.openxmlformats.org/officeDocument/2006/extended-properties" xmlns:vt="http://schemas.openxmlformats.org/officeDocument/2006/docPropsVTypes">
  <Template>Normal.dotm</Template>
  <TotalTime>5</TotalTime>
  <Pages>6</Pages>
  <Words>1651</Words>
  <Characters>9828</Characters>
  <Application>Microsoft Office Word</Application>
  <DocSecurity>4</DocSecurity>
  <Lines>338</Lines>
  <Paragraphs>194</Paragraphs>
  <ScaleCrop>false</ScaleCrop>
  <HeadingPairs>
    <vt:vector size="2" baseType="variant">
      <vt:variant>
        <vt:lpstr>Title</vt:lpstr>
      </vt:variant>
      <vt:variant>
        <vt:i4>1</vt:i4>
      </vt:variant>
    </vt:vector>
  </HeadingPairs>
  <TitlesOfParts>
    <vt:vector size="1" baseType="lpstr">
      <vt:lpstr>STATE BOARD OF EDUCATION – TOPIC SUMMARY</vt:lpstr>
    </vt:vector>
  </TitlesOfParts>
  <Company>Oregon Department of Education</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OF EDUCATION – TOPIC SUMMARY</dc:title>
  <dc:creator>mccombj</dc:creator>
  <cp:lastModifiedBy>NAZAROV Emily</cp:lastModifiedBy>
  <cp:revision>2</cp:revision>
  <cp:lastPrinted>2014-02-26T19:16:00Z</cp:lastPrinted>
  <dcterms:created xsi:type="dcterms:W3CDTF">2014-02-26T19:25:00Z</dcterms:created>
  <dcterms:modified xsi:type="dcterms:W3CDTF">2014-02-26T19:25:00Z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