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Pr="00963CB6"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963CB6">
        <w:rPr>
          <w:rFonts w:asciiTheme="minorHAnsi" w:hAnsiTheme="minorHAnsi"/>
          <w:b/>
          <w:sz w:val="24"/>
          <w:szCs w:val="24"/>
        </w:rPr>
        <w:t>STATE BOARD OF EDUCATION – TOPIC SUMMARY</w:t>
      </w:r>
    </w:p>
    <w:p w:rsidR="00E37199" w:rsidRPr="00963CB6"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963CB6">
        <w:rPr>
          <w:rFonts w:asciiTheme="minorHAnsi" w:hAnsiTheme="minorHAnsi"/>
          <w:b/>
          <w:sz w:val="24"/>
          <w:szCs w:val="24"/>
        </w:rPr>
        <w:t>Topic:</w:t>
      </w:r>
      <w:r w:rsidRPr="00963CB6">
        <w:rPr>
          <w:rFonts w:asciiTheme="minorHAnsi" w:hAnsiTheme="minorHAnsi"/>
          <w:sz w:val="24"/>
          <w:szCs w:val="24"/>
        </w:rPr>
        <w:t xml:space="preserve"> </w:t>
      </w:r>
      <w:r w:rsidR="00483430" w:rsidRPr="00963CB6">
        <w:rPr>
          <w:rFonts w:asciiTheme="minorHAnsi" w:hAnsiTheme="minorHAnsi"/>
          <w:sz w:val="24"/>
          <w:szCs w:val="24"/>
        </w:rPr>
        <w:t xml:space="preserve"> </w:t>
      </w:r>
      <w:r w:rsidR="00632198" w:rsidRPr="00963CB6">
        <w:rPr>
          <w:rFonts w:asciiTheme="minorHAnsi" w:hAnsiTheme="minorHAnsi"/>
          <w:sz w:val="24"/>
          <w:szCs w:val="24"/>
        </w:rPr>
        <w:t xml:space="preserve">Strategic Fund </w:t>
      </w:r>
      <w:r w:rsidR="00413668" w:rsidRPr="00963CB6">
        <w:rPr>
          <w:rFonts w:asciiTheme="minorHAnsi" w:hAnsiTheme="minorHAnsi"/>
          <w:sz w:val="24"/>
          <w:szCs w:val="24"/>
        </w:rPr>
        <w:t>Allocation</w:t>
      </w:r>
    </w:p>
    <w:p w:rsidR="00E37199" w:rsidRPr="00963CB6"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963CB6">
        <w:rPr>
          <w:rFonts w:asciiTheme="minorHAnsi" w:hAnsiTheme="minorHAnsi"/>
          <w:b/>
          <w:sz w:val="24"/>
          <w:szCs w:val="24"/>
        </w:rPr>
        <w:t>Date:</w:t>
      </w:r>
      <w:r w:rsidRPr="00963CB6">
        <w:rPr>
          <w:rFonts w:asciiTheme="minorHAnsi" w:hAnsiTheme="minorHAnsi"/>
          <w:sz w:val="24"/>
          <w:szCs w:val="24"/>
        </w:rPr>
        <w:t xml:space="preserve"> </w:t>
      </w:r>
      <w:r w:rsidR="00483430" w:rsidRPr="00963CB6">
        <w:rPr>
          <w:rFonts w:asciiTheme="minorHAnsi" w:hAnsiTheme="minorHAnsi"/>
          <w:sz w:val="24"/>
          <w:szCs w:val="24"/>
        </w:rPr>
        <w:t xml:space="preserve"> </w:t>
      </w:r>
      <w:r w:rsidR="00413668" w:rsidRPr="00963CB6">
        <w:rPr>
          <w:rFonts w:asciiTheme="minorHAnsi" w:hAnsiTheme="minorHAnsi"/>
          <w:sz w:val="24"/>
          <w:szCs w:val="24"/>
        </w:rPr>
        <w:t>April 10, 2014</w:t>
      </w:r>
    </w:p>
    <w:p w:rsidR="00E37199" w:rsidRPr="00963CB6"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963CB6">
        <w:rPr>
          <w:rFonts w:asciiTheme="minorHAnsi" w:hAnsiTheme="minorHAnsi"/>
          <w:b/>
          <w:sz w:val="24"/>
          <w:szCs w:val="24"/>
        </w:rPr>
        <w:t>Staff/Office:</w:t>
      </w:r>
      <w:r w:rsidRPr="00963CB6">
        <w:rPr>
          <w:rFonts w:asciiTheme="minorHAnsi" w:hAnsiTheme="minorHAnsi"/>
          <w:sz w:val="24"/>
          <w:szCs w:val="24"/>
        </w:rPr>
        <w:t xml:space="preserve"> </w:t>
      </w:r>
      <w:r w:rsidR="00483430" w:rsidRPr="00963CB6">
        <w:rPr>
          <w:rFonts w:asciiTheme="minorHAnsi" w:hAnsiTheme="minorHAnsi"/>
          <w:sz w:val="24"/>
          <w:szCs w:val="24"/>
        </w:rPr>
        <w:t xml:space="preserve"> </w:t>
      </w:r>
      <w:r w:rsidR="007B48C8" w:rsidRPr="00963CB6">
        <w:rPr>
          <w:rFonts w:asciiTheme="minorHAnsi" w:hAnsiTheme="minorHAnsi"/>
          <w:sz w:val="24"/>
          <w:szCs w:val="24"/>
        </w:rPr>
        <w:t>Susan Violette, David Zerbe, Krissa Caldwell, Elizabeth Cox</w:t>
      </w:r>
      <w:r w:rsidR="006D5A54" w:rsidRPr="00963CB6">
        <w:rPr>
          <w:rFonts w:asciiTheme="minorHAnsi" w:hAnsiTheme="minorHAnsi"/>
          <w:sz w:val="24"/>
          <w:szCs w:val="24"/>
        </w:rPr>
        <w:t xml:space="preserve">-Brand, </w:t>
      </w:r>
      <w:r w:rsidR="00AF4BFD" w:rsidRPr="00963CB6">
        <w:rPr>
          <w:rFonts w:asciiTheme="minorHAnsi" w:hAnsiTheme="minorHAnsi"/>
          <w:sz w:val="24"/>
          <w:szCs w:val="24"/>
        </w:rPr>
        <w:t>CWD</w:t>
      </w:r>
    </w:p>
    <w:p w:rsidR="00F63AC2"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963CB6">
        <w:rPr>
          <w:rFonts w:asciiTheme="minorHAnsi" w:hAnsiTheme="minorHAnsi"/>
          <w:b/>
          <w:sz w:val="24"/>
          <w:szCs w:val="24"/>
        </w:rPr>
        <w:t xml:space="preserve">Action Requested: </w:t>
      </w:r>
    </w:p>
    <w:bookmarkStart w:id="0" w:name="_GoBack"/>
    <w:bookmarkEnd w:id="0"/>
    <w:p w:rsidR="00E37199" w:rsidRPr="00963CB6"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963CB6">
        <w:rPr>
          <w:rFonts w:asciiTheme="minorHAnsi" w:hAnsiTheme="minorHAnsi"/>
          <w:b/>
          <w:bCs/>
          <w:sz w:val="24"/>
          <w:szCs w:val="24"/>
        </w:rPr>
        <w:fldChar w:fldCharType="begin">
          <w:ffData>
            <w:name w:val=""/>
            <w:enabled/>
            <w:calcOnExit w:val="0"/>
            <w:checkBox>
              <w:sizeAuto/>
              <w:default w:val="0"/>
            </w:checkBox>
          </w:ffData>
        </w:fldChar>
      </w:r>
      <w:r w:rsidRPr="00963CB6">
        <w:rPr>
          <w:rFonts w:asciiTheme="minorHAnsi" w:hAnsiTheme="minorHAnsi"/>
          <w:b/>
          <w:bCs/>
          <w:sz w:val="24"/>
          <w:szCs w:val="24"/>
        </w:rPr>
        <w:instrText xml:space="preserve"> FORMCHECKBOX </w:instrText>
      </w:r>
      <w:r w:rsidR="00F63AC2" w:rsidRPr="00963CB6">
        <w:rPr>
          <w:rFonts w:asciiTheme="minorHAnsi" w:hAnsiTheme="minorHAnsi"/>
          <w:b/>
          <w:bCs/>
          <w:sz w:val="24"/>
          <w:szCs w:val="24"/>
        </w:rPr>
      </w:r>
      <w:r w:rsidR="00F63AC2" w:rsidRPr="00963CB6">
        <w:rPr>
          <w:rFonts w:asciiTheme="minorHAnsi" w:hAnsiTheme="minorHAnsi"/>
          <w:b/>
          <w:bCs/>
          <w:sz w:val="24"/>
          <w:szCs w:val="24"/>
        </w:rPr>
        <w:fldChar w:fldCharType="separate"/>
      </w:r>
      <w:r w:rsidRPr="00963CB6">
        <w:rPr>
          <w:rFonts w:asciiTheme="minorHAnsi" w:hAnsiTheme="minorHAnsi"/>
          <w:b/>
          <w:bCs/>
          <w:sz w:val="24"/>
          <w:szCs w:val="24"/>
        </w:rPr>
        <w:fldChar w:fldCharType="end"/>
      </w:r>
      <w:r w:rsidRPr="00963CB6">
        <w:rPr>
          <w:rFonts w:asciiTheme="minorHAnsi" w:hAnsiTheme="minorHAnsi"/>
          <w:b/>
          <w:sz w:val="24"/>
          <w:szCs w:val="24"/>
        </w:rPr>
        <w:t xml:space="preserve"> Information</w:t>
      </w:r>
      <w:r w:rsidR="005A334C" w:rsidRPr="00963CB6">
        <w:rPr>
          <w:rFonts w:asciiTheme="minorHAnsi" w:hAnsiTheme="minorHAnsi"/>
          <w:b/>
          <w:sz w:val="24"/>
          <w:szCs w:val="24"/>
        </w:rPr>
        <w:t>al</w:t>
      </w:r>
      <w:r w:rsidR="00274317" w:rsidRPr="00963CB6">
        <w:rPr>
          <w:rFonts w:asciiTheme="minorHAnsi" w:hAnsiTheme="minorHAnsi"/>
          <w:b/>
          <w:sz w:val="24"/>
          <w:szCs w:val="24"/>
        </w:rPr>
        <w:t xml:space="preserve"> O</w:t>
      </w:r>
      <w:r w:rsidRPr="00963CB6">
        <w:rPr>
          <w:rFonts w:asciiTheme="minorHAnsi" w:hAnsiTheme="minorHAnsi"/>
          <w:b/>
          <w:sz w:val="24"/>
          <w:szCs w:val="24"/>
        </w:rPr>
        <w:t xml:space="preserve">nly  </w:t>
      </w:r>
      <w:r w:rsidR="005A334C" w:rsidRPr="00963CB6">
        <w:rPr>
          <w:rFonts w:asciiTheme="minorHAnsi" w:hAnsiTheme="minorHAnsi"/>
          <w:b/>
          <w:sz w:val="24"/>
          <w:szCs w:val="24"/>
        </w:rPr>
        <w:t xml:space="preserve"> </w:t>
      </w:r>
      <w:r w:rsidR="005A334C" w:rsidRPr="00963CB6">
        <w:rPr>
          <w:rFonts w:asciiTheme="minorHAnsi" w:hAnsiTheme="minorHAnsi"/>
          <w:b/>
          <w:bCs/>
          <w:sz w:val="24"/>
          <w:szCs w:val="24"/>
        </w:rPr>
        <w:fldChar w:fldCharType="begin">
          <w:ffData>
            <w:name w:val="Check8"/>
            <w:enabled/>
            <w:calcOnExit w:val="0"/>
            <w:checkBox>
              <w:sizeAuto/>
              <w:default w:val="0"/>
            </w:checkBox>
          </w:ffData>
        </w:fldChar>
      </w:r>
      <w:r w:rsidR="005A334C" w:rsidRPr="00963CB6">
        <w:rPr>
          <w:rFonts w:asciiTheme="minorHAnsi" w:hAnsiTheme="minorHAnsi"/>
          <w:b/>
          <w:bCs/>
          <w:sz w:val="24"/>
          <w:szCs w:val="24"/>
        </w:rPr>
        <w:instrText xml:space="preserve"> FORMCHECKBOX </w:instrText>
      </w:r>
      <w:r w:rsidR="00F63AC2" w:rsidRPr="00963CB6">
        <w:rPr>
          <w:rFonts w:asciiTheme="minorHAnsi" w:hAnsiTheme="minorHAnsi"/>
          <w:b/>
          <w:bCs/>
          <w:sz w:val="24"/>
          <w:szCs w:val="24"/>
        </w:rPr>
      </w:r>
      <w:r w:rsidR="00F63AC2" w:rsidRPr="00963CB6">
        <w:rPr>
          <w:rFonts w:asciiTheme="minorHAnsi" w:hAnsiTheme="minorHAnsi"/>
          <w:b/>
          <w:bCs/>
          <w:sz w:val="24"/>
          <w:szCs w:val="24"/>
        </w:rPr>
        <w:fldChar w:fldCharType="separate"/>
      </w:r>
      <w:r w:rsidR="005A334C" w:rsidRPr="00963CB6">
        <w:rPr>
          <w:rFonts w:asciiTheme="minorHAnsi" w:hAnsiTheme="minorHAnsi"/>
          <w:b/>
          <w:bCs/>
          <w:sz w:val="24"/>
          <w:szCs w:val="24"/>
        </w:rPr>
        <w:fldChar w:fldCharType="end"/>
      </w:r>
      <w:r w:rsidR="005A334C" w:rsidRPr="00963CB6">
        <w:rPr>
          <w:rFonts w:asciiTheme="minorHAnsi" w:hAnsiTheme="minorHAnsi"/>
          <w:b/>
          <w:sz w:val="24"/>
          <w:szCs w:val="24"/>
        </w:rPr>
        <w:t xml:space="preserve"> Adoption Later </w:t>
      </w:r>
      <w:r w:rsidRPr="00963CB6">
        <w:rPr>
          <w:rFonts w:asciiTheme="minorHAnsi" w:hAnsiTheme="minorHAnsi"/>
          <w:b/>
          <w:sz w:val="24"/>
          <w:szCs w:val="24"/>
        </w:rPr>
        <w:t xml:space="preserve">  </w:t>
      </w:r>
      <w:bookmarkStart w:id="1" w:name="Check8"/>
      <w:r w:rsidR="00B964CB" w:rsidRPr="00963CB6">
        <w:rPr>
          <w:rFonts w:asciiTheme="minorHAnsi" w:hAnsiTheme="minorHAnsi"/>
          <w:b/>
          <w:bCs/>
          <w:sz w:val="24"/>
          <w:szCs w:val="24"/>
        </w:rPr>
        <w:fldChar w:fldCharType="begin">
          <w:ffData>
            <w:name w:val="Check8"/>
            <w:enabled/>
            <w:calcOnExit w:val="0"/>
            <w:checkBox>
              <w:sizeAuto/>
              <w:default w:val="1"/>
            </w:checkBox>
          </w:ffData>
        </w:fldChar>
      </w:r>
      <w:r w:rsidR="00B964CB" w:rsidRPr="00963CB6">
        <w:rPr>
          <w:rFonts w:asciiTheme="minorHAnsi" w:hAnsiTheme="minorHAnsi"/>
          <w:b/>
          <w:bCs/>
          <w:sz w:val="24"/>
          <w:szCs w:val="24"/>
        </w:rPr>
        <w:instrText xml:space="preserve"> FORMCHECKBOX </w:instrText>
      </w:r>
      <w:r w:rsidR="00F63AC2" w:rsidRPr="00963CB6">
        <w:rPr>
          <w:rFonts w:asciiTheme="minorHAnsi" w:hAnsiTheme="minorHAnsi"/>
          <w:b/>
          <w:bCs/>
          <w:sz w:val="24"/>
          <w:szCs w:val="24"/>
        </w:rPr>
      </w:r>
      <w:r w:rsidR="00F63AC2" w:rsidRPr="00963CB6">
        <w:rPr>
          <w:rFonts w:asciiTheme="minorHAnsi" w:hAnsiTheme="minorHAnsi"/>
          <w:b/>
          <w:bCs/>
          <w:sz w:val="24"/>
          <w:szCs w:val="24"/>
        </w:rPr>
        <w:fldChar w:fldCharType="separate"/>
      </w:r>
      <w:r w:rsidR="00B964CB" w:rsidRPr="00963CB6">
        <w:rPr>
          <w:rFonts w:asciiTheme="minorHAnsi" w:hAnsiTheme="minorHAnsi"/>
          <w:b/>
          <w:bCs/>
          <w:sz w:val="24"/>
          <w:szCs w:val="24"/>
        </w:rPr>
        <w:fldChar w:fldCharType="end"/>
      </w:r>
      <w:bookmarkEnd w:id="1"/>
      <w:r w:rsidRPr="00963CB6">
        <w:rPr>
          <w:rFonts w:asciiTheme="minorHAnsi" w:hAnsiTheme="minorHAnsi"/>
          <w:b/>
          <w:sz w:val="24"/>
          <w:szCs w:val="24"/>
        </w:rPr>
        <w:t xml:space="preserve">  Adoption </w:t>
      </w:r>
      <w:r w:rsidR="005A334C" w:rsidRPr="00963CB6">
        <w:rPr>
          <w:rFonts w:asciiTheme="minorHAnsi" w:hAnsiTheme="minorHAnsi"/>
          <w:b/>
          <w:sz w:val="24"/>
          <w:szCs w:val="24"/>
        </w:rPr>
        <w:t xml:space="preserve"> </w:t>
      </w:r>
      <w:r w:rsidRPr="00963CB6">
        <w:rPr>
          <w:rFonts w:asciiTheme="minorHAnsi" w:hAnsiTheme="minorHAnsi"/>
          <w:b/>
          <w:sz w:val="24"/>
          <w:szCs w:val="24"/>
        </w:rPr>
        <w:t xml:space="preserve"> </w:t>
      </w:r>
      <w:r w:rsidRPr="00963CB6">
        <w:rPr>
          <w:rFonts w:asciiTheme="minorHAnsi" w:hAnsiTheme="minorHAnsi"/>
          <w:b/>
          <w:bCs/>
          <w:sz w:val="24"/>
          <w:szCs w:val="24"/>
        </w:rPr>
        <w:fldChar w:fldCharType="begin">
          <w:ffData>
            <w:name w:val=""/>
            <w:enabled/>
            <w:calcOnExit w:val="0"/>
            <w:checkBox>
              <w:sizeAuto/>
              <w:default w:val="0"/>
            </w:checkBox>
          </w:ffData>
        </w:fldChar>
      </w:r>
      <w:r w:rsidRPr="00963CB6">
        <w:rPr>
          <w:rFonts w:asciiTheme="minorHAnsi" w:hAnsiTheme="minorHAnsi"/>
          <w:b/>
          <w:bCs/>
          <w:sz w:val="24"/>
          <w:szCs w:val="24"/>
        </w:rPr>
        <w:instrText xml:space="preserve"> FORMCHECKBOX </w:instrText>
      </w:r>
      <w:r w:rsidR="00F63AC2" w:rsidRPr="00963CB6">
        <w:rPr>
          <w:rFonts w:asciiTheme="minorHAnsi" w:hAnsiTheme="minorHAnsi"/>
          <w:b/>
          <w:bCs/>
          <w:sz w:val="24"/>
          <w:szCs w:val="24"/>
        </w:rPr>
      </w:r>
      <w:r w:rsidR="00F63AC2" w:rsidRPr="00963CB6">
        <w:rPr>
          <w:rFonts w:asciiTheme="minorHAnsi" w:hAnsiTheme="minorHAnsi"/>
          <w:b/>
          <w:bCs/>
          <w:sz w:val="24"/>
          <w:szCs w:val="24"/>
        </w:rPr>
        <w:fldChar w:fldCharType="separate"/>
      </w:r>
      <w:r w:rsidRPr="00963CB6">
        <w:rPr>
          <w:rFonts w:asciiTheme="minorHAnsi" w:hAnsiTheme="minorHAnsi"/>
          <w:b/>
          <w:bCs/>
          <w:sz w:val="24"/>
          <w:szCs w:val="24"/>
        </w:rPr>
        <w:fldChar w:fldCharType="end"/>
      </w:r>
      <w:r w:rsidRPr="00963CB6">
        <w:rPr>
          <w:rFonts w:asciiTheme="minorHAnsi" w:hAnsiTheme="minorHAnsi"/>
          <w:b/>
          <w:sz w:val="24"/>
          <w:szCs w:val="24"/>
        </w:rPr>
        <w:t xml:space="preserve"> Adoption/Consent </w:t>
      </w:r>
      <w:r w:rsidR="005A334C" w:rsidRPr="00963CB6">
        <w:rPr>
          <w:rFonts w:asciiTheme="minorHAnsi" w:hAnsiTheme="minorHAnsi"/>
          <w:b/>
          <w:sz w:val="24"/>
          <w:szCs w:val="24"/>
        </w:rPr>
        <w:t>Agenda</w:t>
      </w:r>
    </w:p>
    <w:p w:rsidR="00E37199" w:rsidRPr="00963CB6" w:rsidRDefault="00E37199" w:rsidP="008D034F">
      <w:pPr>
        <w:pStyle w:val="Indent"/>
        <w:tabs>
          <w:tab w:val="left" w:pos="0"/>
        </w:tabs>
        <w:ind w:left="0" w:firstLine="0"/>
        <w:rPr>
          <w:rFonts w:asciiTheme="minorHAnsi" w:hAnsiTheme="minorHAnsi"/>
          <w:sz w:val="24"/>
          <w:szCs w:val="24"/>
        </w:rPr>
      </w:pPr>
    </w:p>
    <w:p w:rsidR="00C049ED" w:rsidRPr="00963CB6" w:rsidRDefault="00E37199" w:rsidP="00483430">
      <w:pPr>
        <w:pStyle w:val="Indent"/>
        <w:tabs>
          <w:tab w:val="left" w:pos="0"/>
        </w:tabs>
        <w:ind w:left="0" w:firstLine="0"/>
        <w:rPr>
          <w:rFonts w:asciiTheme="minorHAnsi" w:hAnsiTheme="minorHAnsi"/>
          <w:sz w:val="24"/>
          <w:szCs w:val="24"/>
        </w:rPr>
      </w:pPr>
      <w:r w:rsidRPr="00963CB6">
        <w:rPr>
          <w:rFonts w:asciiTheme="minorHAnsi" w:hAnsiTheme="minorHAnsi"/>
          <w:b/>
          <w:sz w:val="24"/>
          <w:szCs w:val="24"/>
        </w:rPr>
        <w:t>ISSUE BEFORE THE BOARD</w:t>
      </w:r>
      <w:r w:rsidRPr="00963CB6">
        <w:rPr>
          <w:rFonts w:asciiTheme="minorHAnsi" w:hAnsiTheme="minorHAnsi"/>
          <w:sz w:val="24"/>
          <w:szCs w:val="24"/>
        </w:rPr>
        <w:t xml:space="preserve">: </w:t>
      </w:r>
      <w:r w:rsidR="00483430" w:rsidRPr="00963CB6">
        <w:rPr>
          <w:rFonts w:asciiTheme="minorHAnsi" w:hAnsiTheme="minorHAnsi"/>
          <w:sz w:val="24"/>
          <w:szCs w:val="24"/>
        </w:rPr>
        <w:t xml:space="preserve"> </w:t>
      </w:r>
      <w:r w:rsidR="00A43D04" w:rsidRPr="00963CB6">
        <w:rPr>
          <w:rFonts w:asciiTheme="minorHAnsi" w:hAnsiTheme="minorHAnsi"/>
          <w:sz w:val="24"/>
          <w:szCs w:val="24"/>
        </w:rPr>
        <w:t>Adoption of resolution that would r</w:t>
      </w:r>
      <w:r w:rsidR="00A93384" w:rsidRPr="00963CB6">
        <w:rPr>
          <w:rFonts w:asciiTheme="minorHAnsi" w:hAnsiTheme="minorHAnsi"/>
          <w:sz w:val="24"/>
          <w:szCs w:val="24"/>
        </w:rPr>
        <w:t xml:space="preserve">educe the </w:t>
      </w:r>
      <w:r w:rsidR="001378CD" w:rsidRPr="00963CB6">
        <w:rPr>
          <w:rFonts w:asciiTheme="minorHAnsi" w:hAnsiTheme="minorHAnsi"/>
          <w:sz w:val="24"/>
          <w:szCs w:val="24"/>
        </w:rPr>
        <w:t xml:space="preserve">amount </w:t>
      </w:r>
      <w:r w:rsidR="00E60161" w:rsidRPr="00963CB6">
        <w:rPr>
          <w:rFonts w:asciiTheme="minorHAnsi" w:hAnsiTheme="minorHAnsi"/>
          <w:sz w:val="24"/>
          <w:szCs w:val="24"/>
        </w:rPr>
        <w:t>allocated to the Community College Support Fund</w:t>
      </w:r>
      <w:r w:rsidR="00A43D04" w:rsidRPr="00963CB6">
        <w:rPr>
          <w:rFonts w:asciiTheme="minorHAnsi" w:hAnsiTheme="minorHAnsi"/>
          <w:sz w:val="24"/>
          <w:szCs w:val="24"/>
        </w:rPr>
        <w:t xml:space="preserve"> (CCSF) </w:t>
      </w:r>
      <w:r w:rsidR="00E60161" w:rsidRPr="00963CB6">
        <w:rPr>
          <w:rFonts w:asciiTheme="minorHAnsi" w:hAnsiTheme="minorHAnsi"/>
          <w:sz w:val="24"/>
          <w:szCs w:val="24"/>
        </w:rPr>
        <w:t>Strategic Fund by</w:t>
      </w:r>
      <w:r w:rsidR="00AB3BEA" w:rsidRPr="00963CB6">
        <w:rPr>
          <w:rFonts w:asciiTheme="minorHAnsi" w:hAnsiTheme="minorHAnsi"/>
          <w:sz w:val="24"/>
          <w:szCs w:val="24"/>
        </w:rPr>
        <w:t xml:space="preserve"> </w:t>
      </w:r>
      <w:r w:rsidR="00E60161" w:rsidRPr="00963CB6">
        <w:rPr>
          <w:rFonts w:asciiTheme="minorHAnsi" w:hAnsiTheme="minorHAnsi"/>
          <w:sz w:val="24"/>
          <w:szCs w:val="24"/>
        </w:rPr>
        <w:t>$121,087</w:t>
      </w:r>
      <w:r w:rsidR="001378CD" w:rsidRPr="00963CB6">
        <w:rPr>
          <w:rFonts w:asciiTheme="minorHAnsi" w:hAnsiTheme="minorHAnsi"/>
          <w:sz w:val="24"/>
          <w:szCs w:val="24"/>
        </w:rPr>
        <w:t xml:space="preserve"> per Legislative direction </w:t>
      </w:r>
      <w:r w:rsidR="00A43D04" w:rsidRPr="00963CB6">
        <w:rPr>
          <w:rFonts w:asciiTheme="minorHAnsi" w:hAnsiTheme="minorHAnsi"/>
          <w:sz w:val="24"/>
          <w:szCs w:val="24"/>
        </w:rPr>
        <w:t>provided in</w:t>
      </w:r>
      <w:r w:rsidR="001378CD" w:rsidRPr="00963CB6">
        <w:rPr>
          <w:rFonts w:asciiTheme="minorHAnsi" w:hAnsiTheme="minorHAnsi"/>
          <w:sz w:val="24"/>
          <w:szCs w:val="24"/>
        </w:rPr>
        <w:t xml:space="preserve"> </w:t>
      </w:r>
      <w:r w:rsidR="00E60161" w:rsidRPr="00963CB6">
        <w:rPr>
          <w:rFonts w:asciiTheme="minorHAnsi" w:hAnsiTheme="minorHAnsi"/>
          <w:sz w:val="24"/>
          <w:szCs w:val="24"/>
        </w:rPr>
        <w:t>the February 2014 Session</w:t>
      </w:r>
      <w:r w:rsidR="00A43D04" w:rsidRPr="00963CB6">
        <w:rPr>
          <w:rFonts w:asciiTheme="minorHAnsi" w:hAnsiTheme="minorHAnsi"/>
          <w:sz w:val="24"/>
          <w:szCs w:val="24"/>
        </w:rPr>
        <w:t>’s</w:t>
      </w:r>
      <w:r w:rsidR="00E60161" w:rsidRPr="00963CB6">
        <w:rPr>
          <w:rFonts w:asciiTheme="minorHAnsi" w:hAnsiTheme="minorHAnsi"/>
          <w:sz w:val="24"/>
          <w:szCs w:val="24"/>
        </w:rPr>
        <w:t xml:space="preserve"> reconciliation bill, </w:t>
      </w:r>
      <w:r w:rsidR="00DE5C0F" w:rsidRPr="00963CB6">
        <w:rPr>
          <w:rFonts w:asciiTheme="minorHAnsi" w:hAnsiTheme="minorHAnsi"/>
          <w:sz w:val="24"/>
          <w:szCs w:val="24"/>
        </w:rPr>
        <w:t>HB 5201</w:t>
      </w:r>
      <w:r w:rsidR="00E60161" w:rsidRPr="00963CB6">
        <w:rPr>
          <w:rFonts w:asciiTheme="minorHAnsi" w:hAnsiTheme="minorHAnsi"/>
          <w:sz w:val="24"/>
          <w:szCs w:val="24"/>
        </w:rPr>
        <w:t xml:space="preserve">. </w:t>
      </w:r>
    </w:p>
    <w:p w:rsidR="00C049ED" w:rsidRPr="00963CB6" w:rsidRDefault="00C049ED" w:rsidP="00C049ED">
      <w:pPr>
        <w:pStyle w:val="Indent"/>
        <w:tabs>
          <w:tab w:val="left" w:pos="0"/>
        </w:tabs>
        <w:ind w:left="0" w:firstLine="0"/>
        <w:rPr>
          <w:rFonts w:asciiTheme="minorHAnsi" w:hAnsiTheme="minorHAnsi"/>
          <w:sz w:val="24"/>
          <w:szCs w:val="24"/>
        </w:rPr>
      </w:pPr>
    </w:p>
    <w:p w:rsidR="00C049ED" w:rsidRPr="00963CB6" w:rsidRDefault="00C049ED" w:rsidP="00C049ED">
      <w:pPr>
        <w:pStyle w:val="Indent"/>
        <w:tabs>
          <w:tab w:val="left" w:pos="0"/>
        </w:tabs>
        <w:ind w:left="0" w:firstLine="0"/>
        <w:rPr>
          <w:rFonts w:asciiTheme="minorHAnsi" w:hAnsiTheme="minorHAnsi" w:cs="Arial"/>
          <w:b/>
          <w:bCs/>
          <w:noProof/>
          <w:sz w:val="24"/>
          <w:szCs w:val="24"/>
        </w:rPr>
      </w:pPr>
      <w:r w:rsidRPr="00963CB6">
        <w:rPr>
          <w:rFonts w:asciiTheme="minorHAnsi" w:hAnsiTheme="minorHAnsi" w:cs="Arial"/>
          <w:b/>
          <w:bCs/>
          <w:noProof/>
          <w:sz w:val="24"/>
          <w:szCs w:val="24"/>
        </w:rPr>
        <w:t xml:space="preserve">BACKGROUND </w:t>
      </w:r>
    </w:p>
    <w:p w:rsidR="008D26E2" w:rsidRPr="00963CB6" w:rsidRDefault="008D26E2" w:rsidP="00C049ED">
      <w:pPr>
        <w:pStyle w:val="Indent"/>
        <w:tabs>
          <w:tab w:val="left" w:pos="0"/>
        </w:tabs>
        <w:ind w:left="0" w:firstLine="0"/>
        <w:rPr>
          <w:rFonts w:asciiTheme="minorHAnsi" w:hAnsiTheme="minorHAnsi" w:cs="Arial"/>
          <w:bCs/>
          <w:noProof/>
          <w:sz w:val="24"/>
          <w:szCs w:val="24"/>
          <w:u w:val="single"/>
        </w:rPr>
      </w:pPr>
      <w:r w:rsidRPr="00963CB6">
        <w:rPr>
          <w:rFonts w:asciiTheme="minorHAnsi" w:hAnsiTheme="minorHAnsi" w:cs="Arial"/>
          <w:b/>
          <w:bCs/>
          <w:noProof/>
          <w:sz w:val="24"/>
          <w:szCs w:val="24"/>
        </w:rPr>
        <w:br/>
      </w:r>
      <w:r w:rsidRPr="00963CB6">
        <w:rPr>
          <w:rFonts w:asciiTheme="minorHAnsi" w:hAnsiTheme="minorHAnsi" w:cs="Arial"/>
          <w:bCs/>
          <w:noProof/>
          <w:sz w:val="24"/>
          <w:szCs w:val="24"/>
          <w:u w:val="single"/>
        </w:rPr>
        <w:t>CCSF Strategic Fund</w:t>
      </w:r>
    </w:p>
    <w:p w:rsidR="008D26E2" w:rsidRPr="00963CB6" w:rsidRDefault="008D26E2" w:rsidP="00C049ED">
      <w:pPr>
        <w:pStyle w:val="Indent"/>
        <w:tabs>
          <w:tab w:val="left" w:pos="0"/>
        </w:tabs>
        <w:ind w:left="0" w:firstLine="0"/>
        <w:rPr>
          <w:rFonts w:asciiTheme="minorHAnsi" w:hAnsiTheme="minorHAnsi" w:cs="Arial"/>
          <w:bCs/>
          <w:noProof/>
          <w:sz w:val="24"/>
          <w:szCs w:val="24"/>
          <w:u w:val="single"/>
        </w:rPr>
      </w:pPr>
    </w:p>
    <w:p w:rsidR="00237C43" w:rsidRPr="00963CB6" w:rsidRDefault="00237C43" w:rsidP="00396503">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 xml:space="preserve">The Board established a Strategic Fund that serves two purposes:  1) proposals to incentivize statewide initiatives and activities, and 2) requests from individual institutions for assistance in meeting new expectations stemming from legislative change.  </w:t>
      </w:r>
    </w:p>
    <w:p w:rsidR="00396503" w:rsidRPr="00963CB6" w:rsidRDefault="00396503" w:rsidP="00396503">
      <w:pPr>
        <w:pStyle w:val="Indent"/>
        <w:tabs>
          <w:tab w:val="left" w:pos="0"/>
        </w:tabs>
        <w:ind w:left="720" w:firstLine="0"/>
        <w:rPr>
          <w:rFonts w:asciiTheme="minorHAnsi" w:hAnsiTheme="minorHAnsi" w:cs="Arial"/>
          <w:bCs/>
          <w:noProof/>
          <w:sz w:val="24"/>
          <w:szCs w:val="24"/>
        </w:rPr>
      </w:pPr>
    </w:p>
    <w:p w:rsidR="00237C43" w:rsidRPr="00963CB6" w:rsidRDefault="00396503" w:rsidP="00396503">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T</w:t>
      </w:r>
      <w:r w:rsidR="00237C43" w:rsidRPr="00963CB6">
        <w:rPr>
          <w:rFonts w:asciiTheme="minorHAnsi" w:hAnsiTheme="minorHAnsi" w:cs="Arial"/>
          <w:bCs/>
          <w:noProof/>
          <w:sz w:val="24"/>
          <w:szCs w:val="24"/>
        </w:rPr>
        <w:t>he Commissioner has discretion to review, rank and approve</w:t>
      </w:r>
      <w:r w:rsidRPr="00963CB6">
        <w:rPr>
          <w:rFonts w:asciiTheme="minorHAnsi" w:hAnsiTheme="minorHAnsi" w:cs="Arial"/>
          <w:bCs/>
          <w:noProof/>
          <w:sz w:val="24"/>
          <w:szCs w:val="24"/>
        </w:rPr>
        <w:t xml:space="preserve"> Strategic Fund proposals. </w:t>
      </w:r>
      <w:r w:rsidR="00237C43" w:rsidRPr="00963CB6">
        <w:rPr>
          <w:rFonts w:asciiTheme="minorHAnsi" w:hAnsiTheme="minorHAnsi" w:cs="Arial"/>
          <w:bCs/>
          <w:noProof/>
          <w:sz w:val="24"/>
          <w:szCs w:val="24"/>
        </w:rPr>
        <w:t xml:space="preserve"> As each proposal is approved, the Commissioner provides the Board with a report detailing the purpose of the activity</w:t>
      </w:r>
      <w:r w:rsidR="00CD01FA" w:rsidRPr="00963CB6">
        <w:rPr>
          <w:rFonts w:asciiTheme="minorHAnsi" w:hAnsiTheme="minorHAnsi" w:cs="Arial"/>
          <w:bCs/>
          <w:noProof/>
          <w:sz w:val="24"/>
          <w:szCs w:val="24"/>
        </w:rPr>
        <w:t xml:space="preserve"> and</w:t>
      </w:r>
      <w:r w:rsidR="00237C43" w:rsidRPr="00963CB6">
        <w:rPr>
          <w:rFonts w:asciiTheme="minorHAnsi" w:hAnsiTheme="minorHAnsi" w:cs="Arial"/>
          <w:bCs/>
          <w:noProof/>
          <w:sz w:val="24"/>
          <w:szCs w:val="24"/>
        </w:rPr>
        <w:t xml:space="preserve"> the amount of Strategic Fund monies approved</w:t>
      </w:r>
      <w:r w:rsidR="001D0F98" w:rsidRPr="00963CB6">
        <w:rPr>
          <w:rFonts w:asciiTheme="minorHAnsi" w:hAnsiTheme="minorHAnsi" w:cs="Arial"/>
          <w:bCs/>
          <w:noProof/>
          <w:sz w:val="24"/>
          <w:szCs w:val="24"/>
        </w:rPr>
        <w:t>.</w:t>
      </w:r>
    </w:p>
    <w:p w:rsidR="00237C43" w:rsidRPr="00963CB6" w:rsidRDefault="00237C43" w:rsidP="00237C43">
      <w:pPr>
        <w:pStyle w:val="Indent"/>
        <w:tabs>
          <w:tab w:val="left" w:pos="0"/>
        </w:tabs>
        <w:ind w:left="0" w:firstLine="0"/>
        <w:rPr>
          <w:rFonts w:asciiTheme="minorHAnsi" w:hAnsiTheme="minorHAnsi" w:cs="Arial"/>
          <w:b/>
          <w:bCs/>
          <w:noProof/>
          <w:sz w:val="24"/>
          <w:szCs w:val="24"/>
        </w:rPr>
      </w:pPr>
    </w:p>
    <w:p w:rsidR="004D7E2A" w:rsidRPr="00963CB6" w:rsidRDefault="004D7E2A" w:rsidP="004D7E2A">
      <w:pPr>
        <w:pStyle w:val="NormalWeb"/>
        <w:spacing w:before="0" w:beforeAutospacing="0" w:after="0" w:afterAutospacing="0"/>
        <w:ind w:left="720"/>
        <w:rPr>
          <w:rFonts w:asciiTheme="minorHAnsi" w:hAnsiTheme="minorHAnsi" w:cs="Arial"/>
          <w:bCs/>
          <w:noProof/>
        </w:rPr>
      </w:pPr>
      <w:r w:rsidRPr="00963CB6">
        <w:rPr>
          <w:rFonts w:asciiTheme="minorHAnsi" w:hAnsiTheme="minorHAnsi" w:cs="Arial"/>
          <w:bCs/>
          <w:noProof/>
        </w:rPr>
        <w:t>The establishment, criteria, and process for distribution of the State Board of Education’s Strategic Fund is in OAR 589-002-0020. The allocation for the Strategic Fund is taken off the top of the CCSF appropriation which reduces the amount available to be distributed through the funding formula. Any unspent strategic funds are distributed at the end of the biennium through the funding formula per rule.</w:t>
      </w:r>
    </w:p>
    <w:p w:rsidR="004D7E2A" w:rsidRPr="00963CB6" w:rsidRDefault="004D7E2A" w:rsidP="004D7E2A">
      <w:pPr>
        <w:pStyle w:val="NormalWeb"/>
        <w:spacing w:before="0" w:beforeAutospacing="0" w:after="0" w:afterAutospacing="0"/>
        <w:ind w:left="720"/>
        <w:rPr>
          <w:rFonts w:asciiTheme="minorHAnsi" w:hAnsiTheme="minorHAnsi" w:cs="Arial"/>
          <w:bCs/>
          <w:noProof/>
        </w:rPr>
      </w:pPr>
    </w:p>
    <w:p w:rsidR="00237C43" w:rsidRPr="00963CB6" w:rsidRDefault="00237C43" w:rsidP="00237C43">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 xml:space="preserve">More detailed information about the Strategic Fund rules, history and </w:t>
      </w:r>
      <w:r w:rsidR="001D0F98" w:rsidRPr="00963CB6">
        <w:rPr>
          <w:rFonts w:asciiTheme="minorHAnsi" w:hAnsiTheme="minorHAnsi" w:cs="Arial"/>
          <w:bCs/>
          <w:noProof/>
          <w:sz w:val="24"/>
          <w:szCs w:val="24"/>
        </w:rPr>
        <w:t>current</w:t>
      </w:r>
      <w:r w:rsidRPr="00963CB6">
        <w:rPr>
          <w:rFonts w:asciiTheme="minorHAnsi" w:hAnsiTheme="minorHAnsi" w:cs="Arial"/>
          <w:bCs/>
          <w:noProof/>
          <w:sz w:val="24"/>
          <w:szCs w:val="24"/>
        </w:rPr>
        <w:t xml:space="preserve"> priorities may be found in Attachments A &amp; B.</w:t>
      </w:r>
    </w:p>
    <w:p w:rsidR="00DE5C0F" w:rsidRPr="00963CB6" w:rsidRDefault="00DE5C0F" w:rsidP="00C049ED">
      <w:pPr>
        <w:pStyle w:val="Indent"/>
        <w:tabs>
          <w:tab w:val="left" w:pos="0"/>
        </w:tabs>
        <w:ind w:left="0" w:firstLine="0"/>
        <w:rPr>
          <w:rFonts w:asciiTheme="minorHAnsi" w:hAnsiTheme="minorHAnsi" w:cs="Arial"/>
          <w:b/>
          <w:bCs/>
          <w:noProof/>
          <w:sz w:val="24"/>
          <w:szCs w:val="24"/>
        </w:rPr>
      </w:pPr>
    </w:p>
    <w:p w:rsidR="00BB5E0E" w:rsidRPr="00963CB6" w:rsidRDefault="00227256" w:rsidP="004A3E66">
      <w:pPr>
        <w:pStyle w:val="Indent"/>
        <w:tabs>
          <w:tab w:val="left" w:pos="0"/>
        </w:tabs>
        <w:ind w:left="0" w:firstLine="0"/>
        <w:rPr>
          <w:rFonts w:asciiTheme="minorHAnsi" w:hAnsiTheme="minorHAnsi" w:cs="Arial"/>
          <w:bCs/>
          <w:noProof/>
          <w:sz w:val="24"/>
          <w:szCs w:val="24"/>
          <w:u w:val="single"/>
        </w:rPr>
      </w:pPr>
      <w:r w:rsidRPr="00963CB6">
        <w:rPr>
          <w:rFonts w:asciiTheme="minorHAnsi" w:hAnsiTheme="minorHAnsi" w:cs="Arial"/>
          <w:bCs/>
          <w:noProof/>
          <w:sz w:val="24"/>
          <w:szCs w:val="24"/>
          <w:u w:val="single"/>
        </w:rPr>
        <w:t>CCWD General Fund Deficit</w:t>
      </w:r>
    </w:p>
    <w:p w:rsidR="007248DE" w:rsidRPr="00963CB6" w:rsidRDefault="007248DE" w:rsidP="00BB5E0E">
      <w:pPr>
        <w:pStyle w:val="Indent"/>
        <w:tabs>
          <w:tab w:val="left" w:pos="0"/>
        </w:tabs>
        <w:ind w:left="720" w:firstLine="0"/>
        <w:rPr>
          <w:rFonts w:asciiTheme="minorHAnsi" w:hAnsiTheme="minorHAnsi" w:cs="Arial"/>
          <w:bCs/>
          <w:noProof/>
          <w:sz w:val="24"/>
          <w:szCs w:val="24"/>
        </w:rPr>
      </w:pPr>
    </w:p>
    <w:p w:rsidR="00C94945" w:rsidRPr="00963CB6" w:rsidRDefault="007248DE" w:rsidP="00BB5E0E">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The Department began the biennium with a G</w:t>
      </w:r>
      <w:r w:rsidR="00D207E5" w:rsidRPr="00963CB6">
        <w:rPr>
          <w:rFonts w:asciiTheme="minorHAnsi" w:hAnsiTheme="minorHAnsi" w:cs="Arial"/>
          <w:bCs/>
          <w:noProof/>
          <w:sz w:val="24"/>
          <w:szCs w:val="24"/>
        </w:rPr>
        <w:t xml:space="preserve">eneral </w:t>
      </w:r>
      <w:r w:rsidRPr="00963CB6">
        <w:rPr>
          <w:rFonts w:asciiTheme="minorHAnsi" w:hAnsiTheme="minorHAnsi" w:cs="Arial"/>
          <w:bCs/>
          <w:noProof/>
          <w:sz w:val="24"/>
          <w:szCs w:val="24"/>
        </w:rPr>
        <w:t>F</w:t>
      </w:r>
      <w:r w:rsidR="00D207E5" w:rsidRPr="00963CB6">
        <w:rPr>
          <w:rFonts w:asciiTheme="minorHAnsi" w:hAnsiTheme="minorHAnsi" w:cs="Arial"/>
          <w:bCs/>
          <w:noProof/>
          <w:sz w:val="24"/>
          <w:szCs w:val="24"/>
        </w:rPr>
        <w:t>und (GF)</w:t>
      </w:r>
      <w:r w:rsidRPr="00963CB6">
        <w:rPr>
          <w:rFonts w:asciiTheme="minorHAnsi" w:hAnsiTheme="minorHAnsi" w:cs="Arial"/>
          <w:bCs/>
          <w:noProof/>
          <w:sz w:val="24"/>
          <w:szCs w:val="24"/>
        </w:rPr>
        <w:t xml:space="preserve"> deficit</w:t>
      </w:r>
      <w:r w:rsidR="00256D56" w:rsidRPr="00963CB6">
        <w:rPr>
          <w:rFonts w:asciiTheme="minorHAnsi" w:hAnsiTheme="minorHAnsi" w:cs="Arial"/>
          <w:bCs/>
          <w:noProof/>
          <w:sz w:val="24"/>
          <w:szCs w:val="24"/>
        </w:rPr>
        <w:t xml:space="preserve"> in personal services</w:t>
      </w:r>
      <w:r w:rsidRPr="00963CB6">
        <w:rPr>
          <w:rFonts w:asciiTheme="minorHAnsi" w:hAnsiTheme="minorHAnsi" w:cs="Arial"/>
          <w:bCs/>
          <w:noProof/>
          <w:sz w:val="24"/>
          <w:szCs w:val="24"/>
        </w:rPr>
        <w:t xml:space="preserve"> of about $800,000, which after saving actions were taken, was reduced to about $550,000. This deficit was largly due to unfunded mandates from bills passed by the Legislature that require work be done </w:t>
      </w:r>
      <w:r w:rsidR="00256D56" w:rsidRPr="00963CB6">
        <w:rPr>
          <w:rFonts w:asciiTheme="minorHAnsi" w:hAnsiTheme="minorHAnsi" w:cs="Arial"/>
          <w:bCs/>
          <w:noProof/>
          <w:sz w:val="24"/>
          <w:szCs w:val="24"/>
        </w:rPr>
        <w:t xml:space="preserve">by </w:t>
      </w:r>
      <w:r w:rsidRPr="00963CB6">
        <w:rPr>
          <w:rFonts w:asciiTheme="minorHAnsi" w:hAnsiTheme="minorHAnsi" w:cs="Arial"/>
          <w:bCs/>
          <w:noProof/>
          <w:sz w:val="24"/>
          <w:szCs w:val="24"/>
        </w:rPr>
        <w:t xml:space="preserve">CCWD without additional funding. </w:t>
      </w:r>
      <w:r w:rsidR="006E6FD8" w:rsidRPr="00963CB6">
        <w:rPr>
          <w:rFonts w:asciiTheme="minorHAnsi" w:hAnsiTheme="minorHAnsi" w:cs="Arial"/>
          <w:bCs/>
          <w:noProof/>
          <w:sz w:val="24"/>
          <w:szCs w:val="24"/>
        </w:rPr>
        <w:t xml:space="preserve"> Some examples of these mandates are the STEM Council, Child Care Taskforce, and Common Course Numbering.</w:t>
      </w:r>
      <w:r w:rsidR="00621F1A" w:rsidRPr="00963CB6">
        <w:rPr>
          <w:rFonts w:asciiTheme="minorHAnsi" w:hAnsiTheme="minorHAnsi" w:cs="Arial"/>
          <w:bCs/>
          <w:noProof/>
          <w:sz w:val="24"/>
          <w:szCs w:val="24"/>
        </w:rPr>
        <w:t xml:space="preserve">  In addition, there  have been substantial reductions in federal and other types of funding. </w:t>
      </w:r>
    </w:p>
    <w:p w:rsidR="00227256" w:rsidRPr="00963CB6" w:rsidRDefault="00227256" w:rsidP="00BB5E0E">
      <w:pPr>
        <w:pStyle w:val="Indent"/>
        <w:tabs>
          <w:tab w:val="left" w:pos="0"/>
        </w:tabs>
        <w:ind w:left="720" w:firstLine="0"/>
        <w:rPr>
          <w:rFonts w:asciiTheme="minorHAnsi" w:hAnsiTheme="minorHAnsi" w:cs="Arial"/>
          <w:bCs/>
          <w:noProof/>
          <w:sz w:val="24"/>
          <w:szCs w:val="24"/>
        </w:rPr>
      </w:pPr>
    </w:p>
    <w:p w:rsidR="00227256" w:rsidRPr="00963CB6" w:rsidRDefault="00227256" w:rsidP="00227256">
      <w:pPr>
        <w:pStyle w:val="Indent"/>
        <w:tabs>
          <w:tab w:val="left" w:pos="0"/>
        </w:tabs>
        <w:ind w:left="0" w:firstLine="0"/>
        <w:rPr>
          <w:rFonts w:asciiTheme="minorHAnsi" w:hAnsiTheme="minorHAnsi" w:cs="Arial"/>
          <w:bCs/>
          <w:noProof/>
          <w:sz w:val="24"/>
          <w:szCs w:val="24"/>
          <w:u w:val="single"/>
        </w:rPr>
      </w:pPr>
      <w:r w:rsidRPr="00963CB6">
        <w:rPr>
          <w:rFonts w:asciiTheme="minorHAnsi" w:hAnsiTheme="minorHAnsi" w:cs="Arial"/>
          <w:bCs/>
          <w:noProof/>
          <w:sz w:val="24"/>
          <w:szCs w:val="24"/>
          <w:u w:val="single"/>
        </w:rPr>
        <w:t>Legislative Action</w:t>
      </w:r>
    </w:p>
    <w:p w:rsidR="00405357" w:rsidRPr="00963CB6" w:rsidRDefault="00405357" w:rsidP="00BB5E0E">
      <w:pPr>
        <w:pStyle w:val="Indent"/>
        <w:tabs>
          <w:tab w:val="left" w:pos="0"/>
        </w:tabs>
        <w:ind w:left="720" w:firstLine="0"/>
        <w:rPr>
          <w:rFonts w:asciiTheme="minorHAnsi" w:hAnsiTheme="minorHAnsi" w:cs="Arial"/>
          <w:bCs/>
          <w:noProof/>
          <w:sz w:val="24"/>
          <w:szCs w:val="24"/>
        </w:rPr>
      </w:pPr>
    </w:p>
    <w:p w:rsidR="00405357" w:rsidRPr="00963CB6" w:rsidRDefault="009F5101" w:rsidP="00BB5E0E">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T</w:t>
      </w:r>
      <w:r w:rsidR="006521AA" w:rsidRPr="00963CB6">
        <w:rPr>
          <w:rFonts w:asciiTheme="minorHAnsi" w:hAnsiTheme="minorHAnsi" w:cs="Arial"/>
          <w:bCs/>
          <w:noProof/>
          <w:sz w:val="24"/>
          <w:szCs w:val="24"/>
        </w:rPr>
        <w:t xml:space="preserve">he </w:t>
      </w:r>
      <w:r w:rsidR="00440072" w:rsidRPr="00963CB6">
        <w:rPr>
          <w:rFonts w:asciiTheme="minorHAnsi" w:hAnsiTheme="minorHAnsi" w:cs="Arial"/>
          <w:bCs/>
          <w:noProof/>
          <w:sz w:val="24"/>
          <w:szCs w:val="24"/>
        </w:rPr>
        <w:t xml:space="preserve">Legislature </w:t>
      </w:r>
      <w:r w:rsidR="007248DE" w:rsidRPr="00963CB6">
        <w:rPr>
          <w:rFonts w:asciiTheme="minorHAnsi" w:hAnsiTheme="minorHAnsi" w:cs="Arial"/>
          <w:bCs/>
          <w:noProof/>
          <w:sz w:val="24"/>
          <w:szCs w:val="24"/>
        </w:rPr>
        <w:t>p</w:t>
      </w:r>
      <w:r w:rsidRPr="00963CB6">
        <w:rPr>
          <w:rFonts w:asciiTheme="minorHAnsi" w:hAnsiTheme="minorHAnsi" w:cs="Arial"/>
          <w:bCs/>
          <w:noProof/>
          <w:sz w:val="24"/>
          <w:szCs w:val="24"/>
        </w:rPr>
        <w:t>rovid</w:t>
      </w:r>
      <w:r w:rsidR="007248DE" w:rsidRPr="00963CB6">
        <w:rPr>
          <w:rFonts w:asciiTheme="minorHAnsi" w:hAnsiTheme="minorHAnsi" w:cs="Arial"/>
          <w:bCs/>
          <w:noProof/>
          <w:sz w:val="24"/>
          <w:szCs w:val="24"/>
        </w:rPr>
        <w:t>ed</w:t>
      </w:r>
      <w:r w:rsidR="00256D56" w:rsidRPr="00963CB6">
        <w:rPr>
          <w:rFonts w:asciiTheme="minorHAnsi" w:hAnsiTheme="minorHAnsi" w:cs="Arial"/>
          <w:bCs/>
          <w:noProof/>
          <w:sz w:val="24"/>
          <w:szCs w:val="24"/>
        </w:rPr>
        <w:t xml:space="preserve"> the Department with $471,087</w:t>
      </w:r>
      <w:r w:rsidRPr="00963CB6">
        <w:rPr>
          <w:rFonts w:asciiTheme="minorHAnsi" w:hAnsiTheme="minorHAnsi" w:cs="Arial"/>
          <w:bCs/>
          <w:noProof/>
          <w:sz w:val="24"/>
          <w:szCs w:val="24"/>
        </w:rPr>
        <w:t xml:space="preserve"> additional GF </w:t>
      </w:r>
      <w:r w:rsidR="00256D56" w:rsidRPr="00963CB6">
        <w:rPr>
          <w:rFonts w:asciiTheme="minorHAnsi" w:hAnsiTheme="minorHAnsi" w:cs="Arial"/>
          <w:bCs/>
          <w:noProof/>
          <w:sz w:val="24"/>
          <w:szCs w:val="24"/>
        </w:rPr>
        <w:t>for personal services during the</w:t>
      </w:r>
      <w:r w:rsidR="00440072" w:rsidRPr="00963CB6">
        <w:rPr>
          <w:rFonts w:asciiTheme="minorHAnsi" w:hAnsiTheme="minorHAnsi" w:cs="Arial"/>
          <w:bCs/>
          <w:noProof/>
          <w:sz w:val="24"/>
          <w:szCs w:val="24"/>
        </w:rPr>
        <w:t xml:space="preserve"> February 2014 Session</w:t>
      </w:r>
      <w:r w:rsidR="00AE1A9F" w:rsidRPr="00963CB6">
        <w:rPr>
          <w:rFonts w:asciiTheme="minorHAnsi" w:hAnsiTheme="minorHAnsi" w:cs="Arial"/>
          <w:bCs/>
          <w:noProof/>
          <w:sz w:val="24"/>
          <w:szCs w:val="24"/>
        </w:rPr>
        <w:t xml:space="preserve">.  </w:t>
      </w:r>
      <w:r w:rsidR="00256D56" w:rsidRPr="00963CB6">
        <w:rPr>
          <w:rFonts w:asciiTheme="minorHAnsi" w:hAnsiTheme="minorHAnsi" w:cs="Arial"/>
          <w:bCs/>
          <w:noProof/>
          <w:sz w:val="24"/>
          <w:szCs w:val="24"/>
        </w:rPr>
        <w:t xml:space="preserve">Part </w:t>
      </w:r>
      <w:r w:rsidR="00EA3E9C" w:rsidRPr="00963CB6">
        <w:rPr>
          <w:rFonts w:asciiTheme="minorHAnsi" w:hAnsiTheme="minorHAnsi" w:cs="Arial"/>
          <w:bCs/>
          <w:noProof/>
          <w:sz w:val="24"/>
          <w:szCs w:val="24"/>
        </w:rPr>
        <w:t xml:space="preserve">of </w:t>
      </w:r>
      <w:r w:rsidR="00256D56" w:rsidRPr="00963CB6">
        <w:rPr>
          <w:rFonts w:asciiTheme="minorHAnsi" w:hAnsiTheme="minorHAnsi" w:cs="Arial"/>
          <w:bCs/>
          <w:noProof/>
          <w:sz w:val="24"/>
          <w:szCs w:val="24"/>
        </w:rPr>
        <w:t>this funding comes from</w:t>
      </w:r>
      <w:r w:rsidR="00EA3E9C" w:rsidRPr="00963CB6">
        <w:rPr>
          <w:rFonts w:asciiTheme="minorHAnsi" w:hAnsiTheme="minorHAnsi" w:cs="Arial"/>
          <w:bCs/>
          <w:noProof/>
          <w:sz w:val="24"/>
          <w:szCs w:val="24"/>
        </w:rPr>
        <w:t xml:space="preserve"> the</w:t>
      </w:r>
      <w:r w:rsidR="00256D56" w:rsidRPr="00963CB6">
        <w:rPr>
          <w:rFonts w:asciiTheme="minorHAnsi" w:hAnsiTheme="minorHAnsi" w:cs="Arial"/>
          <w:bCs/>
          <w:noProof/>
          <w:sz w:val="24"/>
          <w:szCs w:val="24"/>
        </w:rPr>
        <w:t xml:space="preserve"> transfer</w:t>
      </w:r>
      <w:r w:rsidR="00EA3E9C" w:rsidRPr="00963CB6">
        <w:rPr>
          <w:rFonts w:asciiTheme="minorHAnsi" w:hAnsiTheme="minorHAnsi" w:cs="Arial"/>
          <w:bCs/>
          <w:noProof/>
          <w:sz w:val="24"/>
          <w:szCs w:val="24"/>
        </w:rPr>
        <w:t xml:space="preserve"> </w:t>
      </w:r>
      <w:r w:rsidR="00EA3E9C" w:rsidRPr="00963CB6">
        <w:rPr>
          <w:rFonts w:asciiTheme="minorHAnsi" w:hAnsiTheme="minorHAnsi" w:cs="Arial"/>
          <w:bCs/>
          <w:noProof/>
          <w:sz w:val="24"/>
          <w:szCs w:val="24"/>
        </w:rPr>
        <w:lastRenderedPageBreak/>
        <w:t>of</w:t>
      </w:r>
      <w:r w:rsidR="00256D56" w:rsidRPr="00963CB6">
        <w:rPr>
          <w:rFonts w:asciiTheme="minorHAnsi" w:hAnsiTheme="minorHAnsi" w:cs="Arial"/>
          <w:bCs/>
          <w:noProof/>
          <w:sz w:val="24"/>
          <w:szCs w:val="24"/>
        </w:rPr>
        <w:t xml:space="preserve"> </w:t>
      </w:r>
      <w:r w:rsidR="0067717A" w:rsidRPr="00963CB6">
        <w:rPr>
          <w:rFonts w:asciiTheme="minorHAnsi" w:hAnsiTheme="minorHAnsi" w:cs="Arial"/>
          <w:bCs/>
          <w:noProof/>
          <w:sz w:val="24"/>
          <w:szCs w:val="24"/>
        </w:rPr>
        <w:t>$121,</w:t>
      </w:r>
      <w:r w:rsidR="00BB471F" w:rsidRPr="00963CB6">
        <w:rPr>
          <w:rFonts w:asciiTheme="minorHAnsi" w:hAnsiTheme="minorHAnsi" w:cs="Arial"/>
          <w:bCs/>
          <w:noProof/>
          <w:sz w:val="24"/>
          <w:szCs w:val="24"/>
        </w:rPr>
        <w:t>087 GF</w:t>
      </w:r>
      <w:r w:rsidR="0067717A" w:rsidRPr="00963CB6">
        <w:rPr>
          <w:rFonts w:asciiTheme="minorHAnsi" w:hAnsiTheme="minorHAnsi" w:cs="Arial"/>
          <w:bCs/>
          <w:noProof/>
          <w:sz w:val="24"/>
          <w:szCs w:val="24"/>
        </w:rPr>
        <w:t xml:space="preserve"> </w:t>
      </w:r>
      <w:r w:rsidR="00256D56" w:rsidRPr="00963CB6">
        <w:rPr>
          <w:rFonts w:asciiTheme="minorHAnsi" w:hAnsiTheme="minorHAnsi" w:cs="Arial"/>
          <w:bCs/>
          <w:noProof/>
          <w:sz w:val="24"/>
          <w:szCs w:val="24"/>
        </w:rPr>
        <w:t>f</w:t>
      </w:r>
      <w:r w:rsidR="0067717A" w:rsidRPr="00963CB6">
        <w:rPr>
          <w:rFonts w:asciiTheme="minorHAnsi" w:hAnsiTheme="minorHAnsi" w:cs="Arial"/>
          <w:bCs/>
          <w:noProof/>
          <w:sz w:val="24"/>
          <w:szCs w:val="24"/>
        </w:rPr>
        <w:t>rom the CCSF appropriation</w:t>
      </w:r>
      <w:r w:rsidR="00256D56" w:rsidRPr="00963CB6">
        <w:rPr>
          <w:rFonts w:asciiTheme="minorHAnsi" w:hAnsiTheme="minorHAnsi" w:cs="Arial"/>
          <w:bCs/>
          <w:noProof/>
          <w:sz w:val="24"/>
          <w:szCs w:val="24"/>
        </w:rPr>
        <w:t xml:space="preserve">. The </w:t>
      </w:r>
      <w:r w:rsidR="0067717A" w:rsidRPr="00963CB6">
        <w:rPr>
          <w:rFonts w:asciiTheme="minorHAnsi" w:hAnsiTheme="minorHAnsi" w:cs="Arial"/>
          <w:bCs/>
          <w:noProof/>
          <w:sz w:val="24"/>
          <w:szCs w:val="24"/>
        </w:rPr>
        <w:t>Budget Report</w:t>
      </w:r>
      <w:r w:rsidR="00256D56" w:rsidRPr="00963CB6">
        <w:rPr>
          <w:rFonts w:asciiTheme="minorHAnsi" w:hAnsiTheme="minorHAnsi" w:cs="Arial"/>
          <w:bCs/>
          <w:noProof/>
          <w:sz w:val="24"/>
          <w:szCs w:val="24"/>
        </w:rPr>
        <w:t xml:space="preserve"> for HB 5201</w:t>
      </w:r>
      <w:r w:rsidR="00193ACF" w:rsidRPr="00963CB6">
        <w:rPr>
          <w:rFonts w:asciiTheme="minorHAnsi" w:hAnsiTheme="minorHAnsi" w:cs="Arial"/>
          <w:bCs/>
          <w:noProof/>
          <w:sz w:val="24"/>
          <w:szCs w:val="24"/>
        </w:rPr>
        <w:t>,</w:t>
      </w:r>
      <w:r w:rsidR="00D207E5" w:rsidRPr="00963CB6">
        <w:rPr>
          <w:rFonts w:asciiTheme="minorHAnsi" w:hAnsiTheme="minorHAnsi" w:cs="Arial"/>
          <w:bCs/>
          <w:noProof/>
          <w:sz w:val="24"/>
          <w:szCs w:val="24"/>
        </w:rPr>
        <w:t xml:space="preserve"> </w:t>
      </w:r>
      <w:r w:rsidR="00256D56" w:rsidRPr="00963CB6">
        <w:rPr>
          <w:rFonts w:asciiTheme="minorHAnsi" w:hAnsiTheme="minorHAnsi" w:cs="Arial"/>
          <w:bCs/>
          <w:noProof/>
          <w:sz w:val="24"/>
          <w:szCs w:val="24"/>
        </w:rPr>
        <w:t>the session</w:t>
      </w:r>
      <w:r w:rsidR="00D207E5" w:rsidRPr="00963CB6">
        <w:rPr>
          <w:rFonts w:asciiTheme="minorHAnsi" w:hAnsiTheme="minorHAnsi" w:cs="Arial"/>
          <w:bCs/>
          <w:noProof/>
          <w:sz w:val="24"/>
          <w:szCs w:val="24"/>
        </w:rPr>
        <w:t>’</w:t>
      </w:r>
      <w:r w:rsidR="00256D56" w:rsidRPr="00963CB6">
        <w:rPr>
          <w:rFonts w:asciiTheme="minorHAnsi" w:hAnsiTheme="minorHAnsi" w:cs="Arial"/>
          <w:bCs/>
          <w:noProof/>
          <w:sz w:val="24"/>
          <w:szCs w:val="24"/>
        </w:rPr>
        <w:t>s reconcilation bill,</w:t>
      </w:r>
      <w:r w:rsidR="0067717A" w:rsidRPr="00963CB6">
        <w:rPr>
          <w:rFonts w:asciiTheme="minorHAnsi" w:hAnsiTheme="minorHAnsi" w:cs="Arial"/>
          <w:bCs/>
          <w:noProof/>
          <w:sz w:val="24"/>
          <w:szCs w:val="24"/>
        </w:rPr>
        <w:t xml:space="preserve"> </w:t>
      </w:r>
      <w:r w:rsidR="00BB471F" w:rsidRPr="00963CB6">
        <w:rPr>
          <w:rFonts w:asciiTheme="minorHAnsi" w:hAnsiTheme="minorHAnsi" w:cs="Arial"/>
          <w:bCs/>
          <w:noProof/>
          <w:sz w:val="24"/>
          <w:szCs w:val="24"/>
        </w:rPr>
        <w:t>says</w:t>
      </w:r>
      <w:r w:rsidRPr="00963CB6">
        <w:rPr>
          <w:rFonts w:asciiTheme="minorHAnsi" w:hAnsiTheme="minorHAnsi" w:cs="Arial"/>
          <w:bCs/>
          <w:noProof/>
          <w:sz w:val="24"/>
          <w:szCs w:val="24"/>
        </w:rPr>
        <w:t xml:space="preserve"> that it</w:t>
      </w:r>
      <w:r w:rsidR="00BB471F" w:rsidRPr="00963CB6">
        <w:rPr>
          <w:rFonts w:asciiTheme="minorHAnsi" w:hAnsiTheme="minorHAnsi" w:cs="Arial"/>
          <w:bCs/>
          <w:noProof/>
          <w:sz w:val="24"/>
          <w:szCs w:val="24"/>
        </w:rPr>
        <w:t xml:space="preserve"> </w:t>
      </w:r>
      <w:r w:rsidR="00F0678B" w:rsidRPr="00963CB6">
        <w:rPr>
          <w:rFonts w:asciiTheme="minorHAnsi" w:hAnsiTheme="minorHAnsi" w:cs="Arial"/>
          <w:bCs/>
          <w:noProof/>
          <w:sz w:val="24"/>
          <w:szCs w:val="24"/>
        </w:rPr>
        <w:t>“</w:t>
      </w:r>
      <w:r w:rsidR="00BB471F" w:rsidRPr="00963CB6">
        <w:rPr>
          <w:rFonts w:asciiTheme="minorHAnsi" w:hAnsiTheme="minorHAnsi" w:cs="Arial"/>
          <w:bCs/>
          <w:noProof/>
          <w:sz w:val="24"/>
          <w:szCs w:val="24"/>
        </w:rPr>
        <w:t>transferred $121,087 from the</w:t>
      </w:r>
      <w:r w:rsidR="00F0678B" w:rsidRPr="00963CB6">
        <w:rPr>
          <w:rFonts w:asciiTheme="minorHAnsi" w:hAnsiTheme="minorHAnsi" w:cs="Arial"/>
          <w:bCs/>
          <w:noProof/>
          <w:sz w:val="24"/>
          <w:szCs w:val="24"/>
        </w:rPr>
        <w:t xml:space="preserve"> </w:t>
      </w:r>
      <w:r w:rsidR="00BB471F" w:rsidRPr="00963CB6">
        <w:rPr>
          <w:rFonts w:asciiTheme="minorHAnsi" w:hAnsiTheme="minorHAnsi" w:cs="Arial"/>
          <w:bCs/>
          <w:noProof/>
          <w:sz w:val="24"/>
          <w:szCs w:val="24"/>
        </w:rPr>
        <w:t xml:space="preserve">Strategic Fund of the Community College Support Fund </w:t>
      </w:r>
      <w:r w:rsidR="00F0678B" w:rsidRPr="00963CB6">
        <w:rPr>
          <w:rFonts w:asciiTheme="minorHAnsi" w:hAnsiTheme="minorHAnsi" w:cs="Arial"/>
          <w:bCs/>
          <w:noProof/>
          <w:sz w:val="24"/>
          <w:szCs w:val="24"/>
        </w:rPr>
        <w:t>to the agency Operations budget”.</w:t>
      </w:r>
    </w:p>
    <w:p w:rsidR="00BA2F49" w:rsidRPr="00963CB6" w:rsidRDefault="00BA2F49" w:rsidP="00BB5E0E">
      <w:pPr>
        <w:pStyle w:val="Indent"/>
        <w:tabs>
          <w:tab w:val="left" w:pos="0"/>
        </w:tabs>
        <w:ind w:left="720" w:firstLine="0"/>
        <w:rPr>
          <w:rFonts w:asciiTheme="minorHAnsi" w:hAnsiTheme="minorHAnsi" w:cs="Arial"/>
          <w:bCs/>
          <w:noProof/>
          <w:sz w:val="24"/>
          <w:szCs w:val="24"/>
        </w:rPr>
      </w:pPr>
    </w:p>
    <w:p w:rsidR="007D423B" w:rsidRPr="00963CB6" w:rsidRDefault="00BA2F49" w:rsidP="00C049ED">
      <w:pPr>
        <w:pStyle w:val="Indent"/>
        <w:tabs>
          <w:tab w:val="left" w:pos="0"/>
        </w:tabs>
        <w:ind w:left="0" w:firstLine="0"/>
        <w:rPr>
          <w:rFonts w:asciiTheme="minorHAnsi" w:hAnsiTheme="minorHAnsi" w:cs="Arial"/>
          <w:bCs/>
          <w:noProof/>
          <w:sz w:val="24"/>
          <w:szCs w:val="24"/>
          <w:u w:val="single"/>
        </w:rPr>
      </w:pPr>
      <w:r w:rsidRPr="00963CB6">
        <w:rPr>
          <w:rFonts w:asciiTheme="minorHAnsi" w:hAnsiTheme="minorHAnsi" w:cs="Arial"/>
          <w:bCs/>
          <w:noProof/>
          <w:sz w:val="24"/>
          <w:szCs w:val="24"/>
          <w:u w:val="single"/>
        </w:rPr>
        <w:t xml:space="preserve">Funding for </w:t>
      </w:r>
      <w:r w:rsidR="00BB5E0E" w:rsidRPr="00963CB6">
        <w:rPr>
          <w:rFonts w:asciiTheme="minorHAnsi" w:hAnsiTheme="minorHAnsi" w:cs="Arial"/>
          <w:bCs/>
          <w:noProof/>
          <w:sz w:val="24"/>
          <w:szCs w:val="24"/>
          <w:u w:val="single"/>
        </w:rPr>
        <w:t>State Board of Education</w:t>
      </w:r>
      <w:r w:rsidR="007D423B" w:rsidRPr="00963CB6">
        <w:rPr>
          <w:rFonts w:asciiTheme="minorHAnsi" w:hAnsiTheme="minorHAnsi" w:cs="Arial"/>
          <w:bCs/>
          <w:noProof/>
          <w:sz w:val="24"/>
          <w:szCs w:val="24"/>
          <w:u w:val="single"/>
        </w:rPr>
        <w:t xml:space="preserve"> Strategic Fund</w:t>
      </w:r>
    </w:p>
    <w:p w:rsidR="00CB5957" w:rsidRPr="00963CB6" w:rsidRDefault="00CB5957" w:rsidP="00C049ED">
      <w:pPr>
        <w:pStyle w:val="Indent"/>
        <w:tabs>
          <w:tab w:val="left" w:pos="0"/>
        </w:tabs>
        <w:ind w:left="0" w:firstLine="0"/>
        <w:rPr>
          <w:rFonts w:asciiTheme="minorHAnsi" w:hAnsiTheme="minorHAnsi" w:cs="Arial"/>
          <w:bCs/>
          <w:noProof/>
          <w:sz w:val="24"/>
          <w:szCs w:val="24"/>
          <w:u w:val="single"/>
        </w:rPr>
      </w:pPr>
    </w:p>
    <w:p w:rsidR="00C7025B" w:rsidRPr="00963CB6" w:rsidRDefault="00166BD5" w:rsidP="0033033A">
      <w:pPr>
        <w:pStyle w:val="NormalWeb"/>
        <w:spacing w:before="0" w:beforeAutospacing="0" w:after="0" w:afterAutospacing="0"/>
        <w:ind w:left="720"/>
        <w:rPr>
          <w:rFonts w:asciiTheme="minorHAnsi" w:hAnsiTheme="minorHAnsi" w:cs="Arial"/>
          <w:bCs/>
          <w:noProof/>
        </w:rPr>
      </w:pPr>
      <w:r w:rsidRPr="00963CB6">
        <w:rPr>
          <w:rFonts w:asciiTheme="minorHAnsi" w:hAnsiTheme="minorHAnsi" w:cs="Arial"/>
          <w:bCs/>
          <w:noProof/>
        </w:rPr>
        <w:t xml:space="preserve">Continuing the </w:t>
      </w:r>
      <w:r w:rsidR="00C7025B" w:rsidRPr="00963CB6">
        <w:rPr>
          <w:rFonts w:asciiTheme="minorHAnsi" w:hAnsiTheme="minorHAnsi" w:cs="Arial"/>
          <w:bCs/>
          <w:noProof/>
        </w:rPr>
        <w:t xml:space="preserve">previous </w:t>
      </w:r>
      <w:r w:rsidRPr="00963CB6">
        <w:rPr>
          <w:rFonts w:asciiTheme="minorHAnsi" w:hAnsiTheme="minorHAnsi" w:cs="Arial"/>
          <w:bCs/>
          <w:noProof/>
        </w:rPr>
        <w:t xml:space="preserve">explaination of how the Strategic Fund </w:t>
      </w:r>
      <w:r w:rsidR="00C7025B" w:rsidRPr="00963CB6">
        <w:rPr>
          <w:rFonts w:asciiTheme="minorHAnsi" w:hAnsiTheme="minorHAnsi" w:cs="Arial"/>
          <w:bCs/>
          <w:noProof/>
        </w:rPr>
        <w:t>works</w:t>
      </w:r>
      <w:r w:rsidRPr="00963CB6">
        <w:rPr>
          <w:rFonts w:asciiTheme="minorHAnsi" w:hAnsiTheme="minorHAnsi" w:cs="Arial"/>
          <w:bCs/>
          <w:noProof/>
        </w:rPr>
        <w:t xml:space="preserve">, the technical details regarding how the total amount of funding available is determined is explained in this section. </w:t>
      </w:r>
    </w:p>
    <w:p w:rsidR="00C7025B" w:rsidRPr="00963CB6" w:rsidRDefault="00C7025B" w:rsidP="0033033A">
      <w:pPr>
        <w:pStyle w:val="NormalWeb"/>
        <w:spacing w:before="0" w:beforeAutospacing="0" w:after="0" w:afterAutospacing="0"/>
        <w:ind w:left="720"/>
        <w:rPr>
          <w:rFonts w:asciiTheme="minorHAnsi" w:hAnsiTheme="minorHAnsi" w:cs="Arial"/>
          <w:bCs/>
          <w:noProof/>
        </w:rPr>
      </w:pPr>
    </w:p>
    <w:p w:rsidR="00BE21FD" w:rsidRPr="00963CB6" w:rsidRDefault="00166BD5" w:rsidP="0033033A">
      <w:pPr>
        <w:pStyle w:val="NormalWeb"/>
        <w:spacing w:before="0" w:beforeAutospacing="0" w:after="0" w:afterAutospacing="0"/>
        <w:ind w:left="720"/>
        <w:rPr>
          <w:rFonts w:asciiTheme="minorHAnsi" w:hAnsiTheme="minorHAnsi" w:cs="Arial"/>
          <w:bCs/>
          <w:noProof/>
        </w:rPr>
      </w:pPr>
      <w:r w:rsidRPr="00963CB6">
        <w:rPr>
          <w:rFonts w:asciiTheme="minorHAnsi" w:hAnsiTheme="minorHAnsi" w:cs="Arial"/>
          <w:bCs/>
          <w:noProof/>
        </w:rPr>
        <w:t>A</w:t>
      </w:r>
      <w:r w:rsidR="00CB5957" w:rsidRPr="00963CB6">
        <w:rPr>
          <w:rFonts w:asciiTheme="minorHAnsi" w:hAnsiTheme="minorHAnsi" w:cs="Arial"/>
          <w:bCs/>
          <w:noProof/>
        </w:rPr>
        <w:t xml:space="preserve">t the beginning of each biennium, the Commissioner makes a policy recommendation to the </w:t>
      </w:r>
      <w:r w:rsidR="0033033A" w:rsidRPr="00963CB6">
        <w:rPr>
          <w:rFonts w:asciiTheme="minorHAnsi" w:hAnsiTheme="minorHAnsi" w:cs="Arial"/>
          <w:bCs/>
          <w:noProof/>
        </w:rPr>
        <w:t>S</w:t>
      </w:r>
      <w:r w:rsidR="00CB5957" w:rsidRPr="00963CB6">
        <w:rPr>
          <w:rFonts w:asciiTheme="minorHAnsi" w:hAnsiTheme="minorHAnsi" w:cs="Arial"/>
          <w:bCs/>
          <w:noProof/>
        </w:rPr>
        <w:t xml:space="preserve">tate Board </w:t>
      </w:r>
      <w:r w:rsidR="0033033A" w:rsidRPr="00963CB6">
        <w:rPr>
          <w:rFonts w:asciiTheme="minorHAnsi" w:hAnsiTheme="minorHAnsi" w:cs="Arial"/>
          <w:bCs/>
          <w:noProof/>
        </w:rPr>
        <w:t>regarding the amount that will be allocated to th</w:t>
      </w:r>
      <w:r w:rsidRPr="00963CB6">
        <w:rPr>
          <w:rFonts w:asciiTheme="minorHAnsi" w:hAnsiTheme="minorHAnsi" w:cs="Arial"/>
          <w:bCs/>
          <w:noProof/>
        </w:rPr>
        <w:t>e</w:t>
      </w:r>
      <w:r w:rsidR="0033033A" w:rsidRPr="00963CB6">
        <w:rPr>
          <w:rFonts w:asciiTheme="minorHAnsi" w:hAnsiTheme="minorHAnsi" w:cs="Arial"/>
          <w:bCs/>
          <w:noProof/>
        </w:rPr>
        <w:t xml:space="preserve"> Strategic Fund out of the CCSF appropriation.</w:t>
      </w:r>
      <w:r w:rsidR="00CB5957" w:rsidRPr="00963CB6">
        <w:rPr>
          <w:rFonts w:asciiTheme="minorHAnsi" w:hAnsiTheme="minorHAnsi" w:cs="Arial"/>
          <w:bCs/>
          <w:noProof/>
        </w:rPr>
        <w:t xml:space="preserve">  Since this</w:t>
      </w:r>
      <w:r w:rsidR="001E3BB4" w:rsidRPr="00963CB6">
        <w:rPr>
          <w:rFonts w:asciiTheme="minorHAnsi" w:hAnsiTheme="minorHAnsi" w:cs="Arial"/>
          <w:bCs/>
          <w:noProof/>
        </w:rPr>
        <w:t xml:space="preserve"> </w:t>
      </w:r>
      <w:r w:rsidR="00CB5957" w:rsidRPr="00963CB6">
        <w:rPr>
          <w:rFonts w:asciiTheme="minorHAnsi" w:hAnsiTheme="minorHAnsi" w:cs="Arial"/>
          <w:bCs/>
          <w:noProof/>
        </w:rPr>
        <w:t xml:space="preserve">is a policy decision, no rule change is required.  </w:t>
      </w:r>
    </w:p>
    <w:p w:rsidR="00BE21FD" w:rsidRPr="00963CB6" w:rsidRDefault="00BE21FD" w:rsidP="00BE21FD">
      <w:pPr>
        <w:pStyle w:val="NormalWeb"/>
        <w:spacing w:before="0" w:beforeAutospacing="0" w:after="0" w:afterAutospacing="0"/>
        <w:ind w:left="720"/>
        <w:rPr>
          <w:rFonts w:asciiTheme="minorHAnsi" w:hAnsiTheme="minorHAnsi" w:cs="Arial"/>
          <w:bCs/>
          <w:noProof/>
        </w:rPr>
      </w:pPr>
    </w:p>
    <w:p w:rsidR="00BE21FD" w:rsidRPr="00963CB6" w:rsidRDefault="00BE21FD" w:rsidP="00BE21FD">
      <w:pPr>
        <w:pStyle w:val="NormalWeb"/>
        <w:spacing w:before="0" w:beforeAutospacing="0" w:after="0" w:afterAutospacing="0"/>
        <w:ind w:left="720"/>
        <w:rPr>
          <w:rFonts w:asciiTheme="minorHAnsi" w:hAnsiTheme="minorHAnsi" w:cs="Arial"/>
          <w:bCs/>
          <w:noProof/>
        </w:rPr>
      </w:pPr>
      <w:r w:rsidRPr="00963CB6">
        <w:rPr>
          <w:rFonts w:asciiTheme="minorHAnsi" w:hAnsiTheme="minorHAnsi" w:cs="Arial"/>
          <w:bCs/>
          <w:noProof/>
        </w:rPr>
        <w:t>Historically, the amount allocated to the strategic fund has been no greater than 1% of the total CCSF appropriation</w:t>
      </w:r>
      <w:r w:rsidR="00AB5B5B" w:rsidRPr="00963CB6">
        <w:rPr>
          <w:rFonts w:asciiTheme="minorHAnsi" w:hAnsiTheme="minorHAnsi" w:cs="Arial"/>
          <w:bCs/>
          <w:noProof/>
        </w:rPr>
        <w:t>;</w:t>
      </w:r>
      <w:r w:rsidRPr="00963CB6">
        <w:rPr>
          <w:rFonts w:asciiTheme="minorHAnsi" w:hAnsiTheme="minorHAnsi" w:cs="Arial"/>
          <w:bCs/>
          <w:noProof/>
        </w:rPr>
        <w:t xml:space="preserve"> most recently it has been at 0.75% as the CCSF funding has decreased over recent bienniums.  </w:t>
      </w:r>
    </w:p>
    <w:p w:rsidR="00BE21FD" w:rsidRPr="00963CB6" w:rsidRDefault="00BE21FD" w:rsidP="00AF26FA">
      <w:pPr>
        <w:pStyle w:val="Indent"/>
        <w:tabs>
          <w:tab w:val="left" w:pos="0"/>
        </w:tabs>
        <w:ind w:left="720" w:firstLine="0"/>
        <w:rPr>
          <w:rFonts w:asciiTheme="minorHAnsi" w:hAnsiTheme="minorHAnsi" w:cs="Arial"/>
          <w:bCs/>
          <w:noProof/>
          <w:sz w:val="24"/>
          <w:szCs w:val="24"/>
        </w:rPr>
      </w:pPr>
    </w:p>
    <w:p w:rsidR="00AF26FA" w:rsidRPr="00963CB6" w:rsidRDefault="00AF26FA" w:rsidP="00AF26FA">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 xml:space="preserve">The </w:t>
      </w:r>
      <w:r w:rsidR="00E93DDD" w:rsidRPr="00963CB6">
        <w:rPr>
          <w:rFonts w:asciiTheme="minorHAnsi" w:hAnsiTheme="minorHAnsi" w:cs="Arial"/>
          <w:bCs/>
          <w:noProof/>
          <w:sz w:val="24"/>
          <w:szCs w:val="24"/>
        </w:rPr>
        <w:t xml:space="preserve">percentage for the Strategic Fund </w:t>
      </w:r>
      <w:r w:rsidRPr="00963CB6">
        <w:rPr>
          <w:rFonts w:asciiTheme="minorHAnsi" w:hAnsiTheme="minorHAnsi" w:cs="Arial"/>
          <w:bCs/>
          <w:noProof/>
          <w:sz w:val="24"/>
          <w:szCs w:val="24"/>
        </w:rPr>
        <w:t xml:space="preserve">approved at the Board’s </w:t>
      </w:r>
      <w:r w:rsidR="00227256" w:rsidRPr="00963CB6">
        <w:rPr>
          <w:rFonts w:asciiTheme="minorHAnsi" w:hAnsiTheme="minorHAnsi" w:cs="Arial"/>
          <w:bCs/>
          <w:noProof/>
          <w:sz w:val="24"/>
          <w:szCs w:val="24"/>
        </w:rPr>
        <w:t>June 2013</w:t>
      </w:r>
      <w:r w:rsidRPr="00963CB6">
        <w:rPr>
          <w:rFonts w:asciiTheme="minorHAnsi" w:hAnsiTheme="minorHAnsi" w:cs="Arial"/>
          <w:bCs/>
          <w:noProof/>
          <w:sz w:val="24"/>
          <w:szCs w:val="24"/>
        </w:rPr>
        <w:t xml:space="preserve"> meeting was </w:t>
      </w:r>
      <w:r w:rsidR="00A04BB1" w:rsidRPr="00963CB6">
        <w:rPr>
          <w:rFonts w:asciiTheme="minorHAnsi" w:hAnsiTheme="minorHAnsi" w:cs="Arial"/>
          <w:bCs/>
          <w:noProof/>
          <w:sz w:val="24"/>
          <w:szCs w:val="24"/>
        </w:rPr>
        <w:t>0</w:t>
      </w:r>
      <w:r w:rsidRPr="00963CB6">
        <w:rPr>
          <w:rFonts w:asciiTheme="minorHAnsi" w:hAnsiTheme="minorHAnsi" w:cs="Arial"/>
          <w:bCs/>
          <w:noProof/>
          <w:sz w:val="24"/>
          <w:szCs w:val="24"/>
        </w:rPr>
        <w:t>.75% of $450</w:t>
      </w:r>
      <w:r w:rsidR="00BE21FD" w:rsidRPr="00963CB6">
        <w:rPr>
          <w:rFonts w:asciiTheme="minorHAnsi" w:hAnsiTheme="minorHAnsi" w:cs="Arial"/>
          <w:bCs/>
          <w:noProof/>
          <w:sz w:val="24"/>
          <w:szCs w:val="24"/>
        </w:rPr>
        <w:t xml:space="preserve"> </w:t>
      </w:r>
      <w:r w:rsidR="00227256" w:rsidRPr="00963CB6">
        <w:rPr>
          <w:rFonts w:asciiTheme="minorHAnsi" w:hAnsiTheme="minorHAnsi" w:cs="Arial"/>
          <w:bCs/>
          <w:noProof/>
          <w:sz w:val="24"/>
          <w:szCs w:val="24"/>
        </w:rPr>
        <w:t>m</w:t>
      </w:r>
      <w:r w:rsidR="00BE21FD" w:rsidRPr="00963CB6">
        <w:rPr>
          <w:rFonts w:asciiTheme="minorHAnsi" w:hAnsiTheme="minorHAnsi" w:cs="Arial"/>
          <w:bCs/>
          <w:noProof/>
          <w:sz w:val="24"/>
          <w:szCs w:val="24"/>
        </w:rPr>
        <w:t>illion</w:t>
      </w:r>
      <w:r w:rsidR="00227256" w:rsidRPr="00963CB6">
        <w:rPr>
          <w:rFonts w:asciiTheme="minorHAnsi" w:hAnsiTheme="minorHAnsi" w:cs="Arial"/>
          <w:bCs/>
          <w:noProof/>
          <w:sz w:val="24"/>
          <w:szCs w:val="24"/>
        </w:rPr>
        <w:t xml:space="preserve"> or $3,375,000</w:t>
      </w:r>
      <w:r w:rsidRPr="00963CB6">
        <w:rPr>
          <w:rFonts w:asciiTheme="minorHAnsi" w:hAnsiTheme="minorHAnsi" w:cs="Arial"/>
          <w:bCs/>
          <w:noProof/>
          <w:sz w:val="24"/>
          <w:szCs w:val="24"/>
        </w:rPr>
        <w:t xml:space="preserve">.  </w:t>
      </w:r>
      <w:r w:rsidR="00CE5CA3" w:rsidRPr="00963CB6">
        <w:rPr>
          <w:rFonts w:asciiTheme="minorHAnsi" w:hAnsiTheme="minorHAnsi" w:cs="Arial"/>
          <w:bCs/>
          <w:noProof/>
          <w:sz w:val="24"/>
          <w:szCs w:val="24"/>
        </w:rPr>
        <w:t>Since then, the Legislature increase</w:t>
      </w:r>
      <w:r w:rsidR="00BE21FD" w:rsidRPr="00963CB6">
        <w:rPr>
          <w:rFonts w:asciiTheme="minorHAnsi" w:hAnsiTheme="minorHAnsi" w:cs="Arial"/>
          <w:bCs/>
          <w:noProof/>
          <w:sz w:val="24"/>
          <w:szCs w:val="24"/>
        </w:rPr>
        <w:t>d</w:t>
      </w:r>
      <w:r w:rsidR="00CE5CA3" w:rsidRPr="00963CB6">
        <w:rPr>
          <w:rFonts w:asciiTheme="minorHAnsi" w:hAnsiTheme="minorHAnsi" w:cs="Arial"/>
          <w:bCs/>
          <w:noProof/>
          <w:sz w:val="24"/>
          <w:szCs w:val="24"/>
        </w:rPr>
        <w:t xml:space="preserve"> the CCSF appropriation by $15 million to $465 million.  The </w:t>
      </w:r>
      <w:r w:rsidR="000B355F" w:rsidRPr="00963CB6">
        <w:rPr>
          <w:rFonts w:asciiTheme="minorHAnsi" w:hAnsiTheme="minorHAnsi" w:cs="Arial"/>
          <w:bCs/>
          <w:noProof/>
          <w:sz w:val="24"/>
          <w:szCs w:val="24"/>
        </w:rPr>
        <w:t>l</w:t>
      </w:r>
      <w:r w:rsidR="00CE5CA3" w:rsidRPr="00963CB6">
        <w:rPr>
          <w:rFonts w:asciiTheme="minorHAnsi" w:hAnsiTheme="minorHAnsi" w:cs="Arial"/>
          <w:bCs/>
          <w:noProof/>
          <w:sz w:val="24"/>
          <w:szCs w:val="24"/>
        </w:rPr>
        <w:t>egis</w:t>
      </w:r>
      <w:r w:rsidR="00BE21FD" w:rsidRPr="00963CB6">
        <w:rPr>
          <w:rFonts w:asciiTheme="minorHAnsi" w:hAnsiTheme="minorHAnsi" w:cs="Arial"/>
          <w:bCs/>
          <w:noProof/>
          <w:sz w:val="24"/>
          <w:szCs w:val="24"/>
        </w:rPr>
        <w:t>l</w:t>
      </w:r>
      <w:r w:rsidR="00CE5CA3" w:rsidRPr="00963CB6">
        <w:rPr>
          <w:rFonts w:asciiTheme="minorHAnsi" w:hAnsiTheme="minorHAnsi" w:cs="Arial"/>
          <w:bCs/>
          <w:noProof/>
          <w:sz w:val="24"/>
          <w:szCs w:val="24"/>
        </w:rPr>
        <w:t xml:space="preserve">ative intent </w:t>
      </w:r>
      <w:r w:rsidR="00A04BB1" w:rsidRPr="00963CB6">
        <w:rPr>
          <w:rFonts w:asciiTheme="minorHAnsi" w:hAnsiTheme="minorHAnsi" w:cs="Arial"/>
          <w:bCs/>
          <w:noProof/>
          <w:sz w:val="24"/>
          <w:szCs w:val="24"/>
        </w:rPr>
        <w:t xml:space="preserve">for this </w:t>
      </w:r>
      <w:r w:rsidR="00CE5CA3" w:rsidRPr="00963CB6">
        <w:rPr>
          <w:rFonts w:asciiTheme="minorHAnsi" w:hAnsiTheme="minorHAnsi" w:cs="Arial"/>
          <w:bCs/>
          <w:noProof/>
          <w:sz w:val="24"/>
          <w:szCs w:val="24"/>
        </w:rPr>
        <w:t xml:space="preserve">funding increase </w:t>
      </w:r>
      <w:r w:rsidR="00A04BB1" w:rsidRPr="00963CB6">
        <w:rPr>
          <w:rFonts w:asciiTheme="minorHAnsi" w:hAnsiTheme="minorHAnsi" w:cs="Arial"/>
          <w:bCs/>
          <w:noProof/>
          <w:sz w:val="24"/>
          <w:szCs w:val="24"/>
        </w:rPr>
        <w:t xml:space="preserve">is </w:t>
      </w:r>
      <w:r w:rsidR="00CE5CA3" w:rsidRPr="00963CB6">
        <w:rPr>
          <w:rFonts w:asciiTheme="minorHAnsi" w:hAnsiTheme="minorHAnsi" w:cs="Arial"/>
          <w:bCs/>
          <w:noProof/>
          <w:sz w:val="24"/>
          <w:szCs w:val="24"/>
        </w:rPr>
        <w:t xml:space="preserve">to </w:t>
      </w:r>
      <w:r w:rsidR="00CC21FD" w:rsidRPr="00963CB6">
        <w:rPr>
          <w:rFonts w:asciiTheme="minorHAnsi" w:hAnsiTheme="minorHAnsi" w:cs="Arial"/>
          <w:bCs/>
          <w:noProof/>
          <w:sz w:val="24"/>
          <w:szCs w:val="24"/>
        </w:rPr>
        <w:t xml:space="preserve">limit or </w:t>
      </w:r>
      <w:r w:rsidR="00CE5CA3" w:rsidRPr="00963CB6">
        <w:rPr>
          <w:rFonts w:asciiTheme="minorHAnsi" w:hAnsiTheme="minorHAnsi" w:cs="Arial"/>
          <w:bCs/>
          <w:noProof/>
          <w:sz w:val="24"/>
          <w:szCs w:val="24"/>
        </w:rPr>
        <w:t>eliminat</w:t>
      </w:r>
      <w:r w:rsidR="00227256" w:rsidRPr="00963CB6">
        <w:rPr>
          <w:rFonts w:asciiTheme="minorHAnsi" w:hAnsiTheme="minorHAnsi" w:cs="Arial"/>
          <w:bCs/>
          <w:noProof/>
          <w:sz w:val="24"/>
          <w:szCs w:val="24"/>
        </w:rPr>
        <w:t>e</w:t>
      </w:r>
      <w:r w:rsidR="00CE5CA3" w:rsidRPr="00963CB6">
        <w:rPr>
          <w:rFonts w:asciiTheme="minorHAnsi" w:hAnsiTheme="minorHAnsi" w:cs="Arial"/>
          <w:bCs/>
          <w:noProof/>
          <w:sz w:val="24"/>
          <w:szCs w:val="24"/>
        </w:rPr>
        <w:t xml:space="preserve"> tution increases in the second year of the biennium</w:t>
      </w:r>
      <w:r w:rsidR="00B24EA1" w:rsidRPr="00963CB6">
        <w:rPr>
          <w:rFonts w:asciiTheme="minorHAnsi" w:hAnsiTheme="minorHAnsi" w:cs="Arial"/>
          <w:bCs/>
          <w:noProof/>
          <w:sz w:val="24"/>
          <w:szCs w:val="24"/>
        </w:rPr>
        <w:t>.</w:t>
      </w:r>
      <w:r w:rsidR="00CE5CA3" w:rsidRPr="00963CB6">
        <w:rPr>
          <w:rFonts w:asciiTheme="minorHAnsi" w:hAnsiTheme="minorHAnsi" w:cs="Arial"/>
          <w:bCs/>
          <w:noProof/>
          <w:sz w:val="24"/>
          <w:szCs w:val="24"/>
        </w:rPr>
        <w:t xml:space="preserve"> </w:t>
      </w:r>
      <w:r w:rsidR="00A04BB1" w:rsidRPr="00963CB6">
        <w:rPr>
          <w:rFonts w:asciiTheme="minorHAnsi" w:hAnsiTheme="minorHAnsi" w:cs="Arial"/>
          <w:bCs/>
          <w:noProof/>
          <w:sz w:val="24"/>
          <w:szCs w:val="24"/>
        </w:rPr>
        <w:t xml:space="preserve"> </w:t>
      </w:r>
      <w:r w:rsidR="00B24EA1" w:rsidRPr="00963CB6">
        <w:rPr>
          <w:rFonts w:asciiTheme="minorHAnsi" w:hAnsiTheme="minorHAnsi" w:cs="Arial"/>
          <w:bCs/>
          <w:noProof/>
          <w:sz w:val="24"/>
          <w:szCs w:val="24"/>
        </w:rPr>
        <w:t>In order to maintain the $3,375,000 set</w:t>
      </w:r>
      <w:r w:rsidR="00A9161B" w:rsidRPr="00963CB6">
        <w:rPr>
          <w:rFonts w:asciiTheme="minorHAnsi" w:hAnsiTheme="minorHAnsi" w:cs="Arial"/>
          <w:bCs/>
          <w:noProof/>
          <w:sz w:val="24"/>
          <w:szCs w:val="24"/>
        </w:rPr>
        <w:t xml:space="preserve"> </w:t>
      </w:r>
      <w:r w:rsidR="00B24EA1" w:rsidRPr="00963CB6">
        <w:rPr>
          <w:rFonts w:asciiTheme="minorHAnsi" w:hAnsiTheme="minorHAnsi" w:cs="Arial"/>
          <w:bCs/>
          <w:noProof/>
          <w:sz w:val="24"/>
          <w:szCs w:val="24"/>
        </w:rPr>
        <w:t>aside for the Strategic Fund,</w:t>
      </w:r>
      <w:r w:rsidR="00CD01FA" w:rsidRPr="00963CB6">
        <w:rPr>
          <w:rFonts w:asciiTheme="minorHAnsi" w:hAnsiTheme="minorHAnsi" w:cs="Arial"/>
          <w:bCs/>
          <w:noProof/>
          <w:sz w:val="24"/>
          <w:szCs w:val="24"/>
        </w:rPr>
        <w:t xml:space="preserve"> </w:t>
      </w:r>
      <w:r w:rsidR="00A04BB1" w:rsidRPr="00963CB6">
        <w:rPr>
          <w:rFonts w:asciiTheme="minorHAnsi" w:hAnsiTheme="minorHAnsi" w:cs="Arial"/>
          <w:bCs/>
          <w:noProof/>
          <w:sz w:val="24"/>
          <w:szCs w:val="24"/>
        </w:rPr>
        <w:t xml:space="preserve">the percent of the total </w:t>
      </w:r>
      <w:r w:rsidR="00B24EA1" w:rsidRPr="00963CB6">
        <w:rPr>
          <w:rFonts w:asciiTheme="minorHAnsi" w:hAnsiTheme="minorHAnsi" w:cs="Arial"/>
          <w:bCs/>
          <w:noProof/>
          <w:sz w:val="24"/>
          <w:szCs w:val="24"/>
        </w:rPr>
        <w:t>$465 million CCSF bec</w:t>
      </w:r>
      <w:r w:rsidR="00CC21FD" w:rsidRPr="00963CB6">
        <w:rPr>
          <w:rFonts w:asciiTheme="minorHAnsi" w:hAnsiTheme="minorHAnsi" w:cs="Arial"/>
          <w:bCs/>
          <w:noProof/>
          <w:sz w:val="24"/>
          <w:szCs w:val="24"/>
        </w:rPr>
        <w:t>omes</w:t>
      </w:r>
      <w:r w:rsidR="00A04BB1" w:rsidRPr="00963CB6">
        <w:rPr>
          <w:rFonts w:asciiTheme="minorHAnsi" w:hAnsiTheme="minorHAnsi" w:cs="Arial"/>
          <w:bCs/>
          <w:noProof/>
          <w:sz w:val="24"/>
          <w:szCs w:val="24"/>
        </w:rPr>
        <w:t xml:space="preserve"> 0.73%.</w:t>
      </w:r>
    </w:p>
    <w:p w:rsidR="00691FA0" w:rsidRPr="00963CB6" w:rsidRDefault="00691FA0" w:rsidP="00AF26FA">
      <w:pPr>
        <w:pStyle w:val="Indent"/>
        <w:tabs>
          <w:tab w:val="left" w:pos="0"/>
        </w:tabs>
        <w:ind w:left="720" w:firstLine="0"/>
        <w:rPr>
          <w:rFonts w:asciiTheme="minorHAnsi" w:hAnsiTheme="minorHAnsi" w:cs="Arial"/>
          <w:bCs/>
          <w:noProof/>
          <w:sz w:val="24"/>
          <w:szCs w:val="24"/>
        </w:rPr>
      </w:pPr>
    </w:p>
    <w:p w:rsidR="000B355F" w:rsidRPr="00963CB6" w:rsidRDefault="00691FA0" w:rsidP="00AF26FA">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To implement legislative action taken in HB 5102, the p</w:t>
      </w:r>
      <w:r w:rsidR="008841A2" w:rsidRPr="00963CB6">
        <w:rPr>
          <w:rFonts w:asciiTheme="minorHAnsi" w:hAnsiTheme="minorHAnsi" w:cs="Arial"/>
          <w:bCs/>
          <w:noProof/>
          <w:sz w:val="24"/>
          <w:szCs w:val="24"/>
        </w:rPr>
        <w:t xml:space="preserve">ercent </w:t>
      </w:r>
      <w:r w:rsidRPr="00963CB6">
        <w:rPr>
          <w:rFonts w:asciiTheme="minorHAnsi" w:hAnsiTheme="minorHAnsi" w:cs="Arial"/>
          <w:bCs/>
          <w:noProof/>
          <w:sz w:val="24"/>
          <w:szCs w:val="24"/>
        </w:rPr>
        <w:t xml:space="preserve">of Strategic Fund </w:t>
      </w:r>
      <w:r w:rsidR="008841A2" w:rsidRPr="00963CB6">
        <w:rPr>
          <w:rFonts w:asciiTheme="minorHAnsi" w:hAnsiTheme="minorHAnsi" w:cs="Arial"/>
          <w:bCs/>
          <w:noProof/>
          <w:sz w:val="24"/>
          <w:szCs w:val="24"/>
        </w:rPr>
        <w:t>is</w:t>
      </w:r>
      <w:r w:rsidRPr="00963CB6">
        <w:rPr>
          <w:rFonts w:asciiTheme="minorHAnsi" w:hAnsiTheme="minorHAnsi" w:cs="Arial"/>
          <w:bCs/>
          <w:noProof/>
          <w:sz w:val="24"/>
          <w:szCs w:val="24"/>
        </w:rPr>
        <w:t xml:space="preserve"> reduced </w:t>
      </w:r>
    </w:p>
    <w:p w:rsidR="00691FA0" w:rsidRPr="00963CB6" w:rsidRDefault="00171E53" w:rsidP="00AF26FA">
      <w:pPr>
        <w:pStyle w:val="Indent"/>
        <w:tabs>
          <w:tab w:val="left" w:pos="0"/>
        </w:tabs>
        <w:ind w:left="720" w:firstLine="0"/>
        <w:rPr>
          <w:rFonts w:asciiTheme="minorHAnsi" w:hAnsiTheme="minorHAnsi" w:cs="Arial"/>
          <w:bCs/>
          <w:noProof/>
          <w:sz w:val="24"/>
          <w:szCs w:val="24"/>
        </w:rPr>
      </w:pPr>
      <w:r w:rsidRPr="00963CB6">
        <w:rPr>
          <w:rFonts w:asciiTheme="minorHAnsi" w:hAnsiTheme="minorHAnsi" w:cs="Arial"/>
          <w:bCs/>
          <w:noProof/>
          <w:sz w:val="24"/>
          <w:szCs w:val="24"/>
        </w:rPr>
        <w:t>f</w:t>
      </w:r>
      <w:r w:rsidR="000B355F" w:rsidRPr="00963CB6">
        <w:rPr>
          <w:rFonts w:asciiTheme="minorHAnsi" w:hAnsiTheme="minorHAnsi" w:cs="Arial"/>
          <w:bCs/>
          <w:noProof/>
          <w:sz w:val="24"/>
          <w:szCs w:val="24"/>
        </w:rPr>
        <w:t>rom 0.73%</w:t>
      </w:r>
      <w:r w:rsidR="00691FA0" w:rsidRPr="00963CB6">
        <w:rPr>
          <w:rFonts w:asciiTheme="minorHAnsi" w:hAnsiTheme="minorHAnsi" w:cs="Arial"/>
          <w:bCs/>
          <w:noProof/>
          <w:sz w:val="24"/>
          <w:szCs w:val="24"/>
        </w:rPr>
        <w:t xml:space="preserve"> to </w:t>
      </w:r>
      <w:r w:rsidR="00CC00C4" w:rsidRPr="00963CB6">
        <w:rPr>
          <w:rFonts w:asciiTheme="minorHAnsi" w:hAnsiTheme="minorHAnsi" w:cs="Arial"/>
          <w:bCs/>
          <w:noProof/>
          <w:sz w:val="24"/>
          <w:szCs w:val="24"/>
        </w:rPr>
        <w:t>0.70%</w:t>
      </w:r>
      <w:r w:rsidR="000B355F" w:rsidRPr="00963CB6">
        <w:rPr>
          <w:rFonts w:asciiTheme="minorHAnsi" w:hAnsiTheme="minorHAnsi" w:cs="Arial"/>
          <w:bCs/>
          <w:noProof/>
          <w:sz w:val="24"/>
          <w:szCs w:val="24"/>
        </w:rPr>
        <w:t xml:space="preserve"> of the total CCSF</w:t>
      </w:r>
      <w:r w:rsidR="00CC00C4" w:rsidRPr="00963CB6">
        <w:rPr>
          <w:rFonts w:asciiTheme="minorHAnsi" w:hAnsiTheme="minorHAnsi" w:cs="Arial"/>
          <w:bCs/>
          <w:noProof/>
          <w:sz w:val="24"/>
          <w:szCs w:val="24"/>
        </w:rPr>
        <w:t xml:space="preserve">.  The </w:t>
      </w:r>
      <w:r w:rsidR="000B355F" w:rsidRPr="00963CB6">
        <w:rPr>
          <w:rFonts w:asciiTheme="minorHAnsi" w:hAnsiTheme="minorHAnsi" w:cs="Arial"/>
          <w:bCs/>
          <w:noProof/>
          <w:sz w:val="24"/>
          <w:szCs w:val="24"/>
        </w:rPr>
        <w:t>allocation to the</w:t>
      </w:r>
      <w:r w:rsidR="00CC00C4" w:rsidRPr="00963CB6">
        <w:rPr>
          <w:rFonts w:asciiTheme="minorHAnsi" w:hAnsiTheme="minorHAnsi" w:cs="Arial"/>
          <w:bCs/>
          <w:noProof/>
          <w:sz w:val="24"/>
          <w:szCs w:val="24"/>
        </w:rPr>
        <w:t xml:space="preserve"> Strategic Fund is </w:t>
      </w:r>
      <w:r w:rsidR="000B355F" w:rsidRPr="00963CB6">
        <w:rPr>
          <w:rFonts w:asciiTheme="minorHAnsi" w:hAnsiTheme="minorHAnsi" w:cs="Arial"/>
          <w:bCs/>
          <w:noProof/>
          <w:sz w:val="24"/>
          <w:szCs w:val="24"/>
        </w:rPr>
        <w:t xml:space="preserve">reduced </w:t>
      </w:r>
      <w:r w:rsidR="00CC21FD" w:rsidRPr="00963CB6">
        <w:rPr>
          <w:rFonts w:asciiTheme="minorHAnsi" w:hAnsiTheme="minorHAnsi" w:cs="Arial"/>
          <w:bCs/>
          <w:noProof/>
          <w:sz w:val="24"/>
          <w:szCs w:val="24"/>
        </w:rPr>
        <w:t xml:space="preserve">by $121,087 from </w:t>
      </w:r>
      <w:r w:rsidR="00CC00C4" w:rsidRPr="00963CB6">
        <w:rPr>
          <w:rFonts w:asciiTheme="minorHAnsi" w:hAnsiTheme="minorHAnsi" w:cs="Arial"/>
          <w:bCs/>
          <w:noProof/>
          <w:sz w:val="24"/>
          <w:szCs w:val="24"/>
        </w:rPr>
        <w:t>$3,375,000 to $3,253,913</w:t>
      </w:r>
      <w:r w:rsidR="000B355F" w:rsidRPr="00963CB6">
        <w:rPr>
          <w:rFonts w:asciiTheme="minorHAnsi" w:hAnsiTheme="minorHAnsi" w:cs="Arial"/>
          <w:bCs/>
          <w:noProof/>
          <w:sz w:val="24"/>
          <w:szCs w:val="24"/>
        </w:rPr>
        <w:t>.</w:t>
      </w:r>
    </w:p>
    <w:p w:rsidR="00E62820" w:rsidRPr="00963CB6" w:rsidRDefault="00E62820" w:rsidP="00691FA0">
      <w:pPr>
        <w:pStyle w:val="Indent"/>
        <w:tabs>
          <w:tab w:val="left" w:pos="0"/>
        </w:tabs>
        <w:rPr>
          <w:rFonts w:asciiTheme="minorHAnsi" w:hAnsiTheme="minorHAnsi" w:cs="Arial"/>
          <w:bCs/>
          <w:noProof/>
          <w:sz w:val="24"/>
          <w:szCs w:val="24"/>
        </w:rPr>
      </w:pPr>
    </w:p>
    <w:tbl>
      <w:tblPr>
        <w:tblW w:w="5598" w:type="dxa"/>
        <w:jc w:val="center"/>
        <w:tblInd w:w="720" w:type="dxa"/>
        <w:tblLook w:val="04A0" w:firstRow="1" w:lastRow="0" w:firstColumn="1" w:lastColumn="0" w:noHBand="0" w:noVBand="1"/>
      </w:tblPr>
      <w:tblGrid>
        <w:gridCol w:w="1952"/>
        <w:gridCol w:w="2104"/>
        <w:gridCol w:w="1710"/>
      </w:tblGrid>
      <w:tr w:rsidR="00351234" w:rsidRPr="00963CB6" w:rsidTr="00351234">
        <w:trPr>
          <w:trHeight w:val="333"/>
          <w:jc w:val="center"/>
        </w:trPr>
        <w:tc>
          <w:tcPr>
            <w:tcW w:w="5598" w:type="dxa"/>
            <w:gridSpan w:val="3"/>
            <w:tcBorders>
              <w:top w:val="double" w:sz="6" w:space="0" w:color="auto"/>
              <w:left w:val="double" w:sz="6" w:space="0" w:color="auto"/>
              <w:right w:val="double" w:sz="6" w:space="0" w:color="auto"/>
            </w:tcBorders>
            <w:shd w:val="clear" w:color="auto" w:fill="BFBFBF" w:themeFill="background1" w:themeFillShade="BF"/>
            <w:noWrap/>
            <w:vAlign w:val="bottom"/>
          </w:tcPr>
          <w:p w:rsidR="00351234" w:rsidRPr="00963CB6" w:rsidRDefault="00351234" w:rsidP="00351234">
            <w:pPr>
              <w:spacing w:before="40" w:after="40"/>
              <w:rPr>
                <w:rFonts w:asciiTheme="minorHAnsi" w:hAnsiTheme="minorHAnsi" w:cs="Arial"/>
                <w:b/>
              </w:rPr>
            </w:pPr>
            <w:r w:rsidRPr="00963CB6">
              <w:rPr>
                <w:rFonts w:asciiTheme="minorHAnsi" w:hAnsiTheme="minorHAnsi" w:cs="Arial"/>
                <w:b/>
              </w:rPr>
              <w:t>Strategic Fund Adjustment</w:t>
            </w:r>
          </w:p>
        </w:tc>
      </w:tr>
      <w:tr w:rsidR="00CC21FD" w:rsidRPr="00963CB6" w:rsidTr="00B03B19">
        <w:trPr>
          <w:trHeight w:val="260"/>
          <w:jc w:val="center"/>
        </w:trPr>
        <w:tc>
          <w:tcPr>
            <w:tcW w:w="1784" w:type="dxa"/>
            <w:tcBorders>
              <w:top w:val="double" w:sz="6" w:space="0" w:color="auto"/>
              <w:left w:val="double" w:sz="6" w:space="0" w:color="auto"/>
              <w:right w:val="nil"/>
            </w:tcBorders>
            <w:shd w:val="clear" w:color="auto" w:fill="auto"/>
            <w:noWrap/>
            <w:vAlign w:val="bottom"/>
            <w:hideMark/>
          </w:tcPr>
          <w:p w:rsidR="00171E53" w:rsidRPr="00963CB6" w:rsidRDefault="00171E53" w:rsidP="00171E53">
            <w:pPr>
              <w:rPr>
                <w:rFonts w:asciiTheme="minorHAnsi" w:hAnsiTheme="minorHAnsi" w:cs="Arial"/>
              </w:rPr>
            </w:pPr>
            <w:r w:rsidRPr="00963CB6">
              <w:rPr>
                <w:rFonts w:asciiTheme="minorHAnsi" w:hAnsiTheme="minorHAnsi" w:cs="Arial"/>
              </w:rPr>
              <w:t>Current</w:t>
            </w:r>
          </w:p>
        </w:tc>
        <w:tc>
          <w:tcPr>
            <w:tcW w:w="2104" w:type="dxa"/>
            <w:tcBorders>
              <w:top w:val="double" w:sz="6" w:space="0" w:color="auto"/>
              <w:left w:val="nil"/>
              <w:right w:val="nil"/>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rPr>
              <w:t xml:space="preserve">$3,375,000 </w:t>
            </w:r>
          </w:p>
        </w:tc>
        <w:tc>
          <w:tcPr>
            <w:tcW w:w="1710" w:type="dxa"/>
            <w:tcBorders>
              <w:top w:val="double" w:sz="6" w:space="0" w:color="auto"/>
              <w:left w:val="nil"/>
              <w:right w:val="double" w:sz="6" w:space="0" w:color="auto"/>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rPr>
              <w:t>0.73%</w:t>
            </w:r>
          </w:p>
        </w:tc>
      </w:tr>
      <w:tr w:rsidR="00CC21FD" w:rsidRPr="00963CB6" w:rsidTr="00B03B19">
        <w:trPr>
          <w:trHeight w:val="260"/>
          <w:jc w:val="center"/>
        </w:trPr>
        <w:tc>
          <w:tcPr>
            <w:tcW w:w="1784" w:type="dxa"/>
            <w:tcBorders>
              <w:top w:val="nil"/>
              <w:left w:val="double" w:sz="6" w:space="0" w:color="auto"/>
              <w:bottom w:val="double" w:sz="6" w:space="0" w:color="auto"/>
              <w:right w:val="nil"/>
            </w:tcBorders>
            <w:shd w:val="clear" w:color="auto" w:fill="auto"/>
            <w:noWrap/>
            <w:vAlign w:val="bottom"/>
            <w:hideMark/>
          </w:tcPr>
          <w:p w:rsidR="00171E53" w:rsidRPr="00963CB6" w:rsidRDefault="00C415E0" w:rsidP="00C415E0">
            <w:pPr>
              <w:rPr>
                <w:rFonts w:asciiTheme="minorHAnsi" w:hAnsiTheme="minorHAnsi" w:cs="Arial"/>
              </w:rPr>
            </w:pPr>
            <w:r w:rsidRPr="00963CB6">
              <w:rPr>
                <w:rFonts w:asciiTheme="minorHAnsi" w:hAnsiTheme="minorHAnsi" w:cs="Arial"/>
              </w:rPr>
              <w:t>Recommendation</w:t>
            </w:r>
          </w:p>
        </w:tc>
        <w:tc>
          <w:tcPr>
            <w:tcW w:w="2104" w:type="dxa"/>
            <w:tcBorders>
              <w:top w:val="nil"/>
              <w:left w:val="nil"/>
              <w:bottom w:val="double" w:sz="6" w:space="0" w:color="auto"/>
              <w:right w:val="nil"/>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rPr>
              <w:t xml:space="preserve">$3,253,913 </w:t>
            </w:r>
          </w:p>
        </w:tc>
        <w:tc>
          <w:tcPr>
            <w:tcW w:w="1710" w:type="dxa"/>
            <w:tcBorders>
              <w:top w:val="nil"/>
              <w:left w:val="nil"/>
              <w:bottom w:val="double" w:sz="6" w:space="0" w:color="auto"/>
              <w:right w:val="double" w:sz="6" w:space="0" w:color="auto"/>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rPr>
              <w:t>0.70%</w:t>
            </w:r>
          </w:p>
        </w:tc>
      </w:tr>
      <w:tr w:rsidR="00CC21FD" w:rsidRPr="00963CB6" w:rsidTr="00B03B19">
        <w:trPr>
          <w:trHeight w:val="270"/>
          <w:jc w:val="center"/>
        </w:trPr>
        <w:tc>
          <w:tcPr>
            <w:tcW w:w="1784" w:type="dxa"/>
            <w:tcBorders>
              <w:top w:val="double" w:sz="6" w:space="0" w:color="auto"/>
              <w:left w:val="double" w:sz="6" w:space="0" w:color="auto"/>
              <w:bottom w:val="double" w:sz="6" w:space="0" w:color="auto"/>
              <w:right w:val="nil"/>
            </w:tcBorders>
            <w:shd w:val="clear" w:color="auto" w:fill="auto"/>
            <w:noWrap/>
            <w:vAlign w:val="bottom"/>
            <w:hideMark/>
          </w:tcPr>
          <w:p w:rsidR="00171E53" w:rsidRPr="00963CB6" w:rsidRDefault="00171E53" w:rsidP="00171E53">
            <w:pPr>
              <w:rPr>
                <w:rFonts w:asciiTheme="minorHAnsi" w:hAnsiTheme="minorHAnsi" w:cs="Arial"/>
              </w:rPr>
            </w:pPr>
            <w:r w:rsidRPr="00963CB6">
              <w:rPr>
                <w:rFonts w:asciiTheme="minorHAnsi" w:hAnsiTheme="minorHAnsi" w:cs="Arial"/>
              </w:rPr>
              <w:t>Adjustment</w:t>
            </w:r>
          </w:p>
        </w:tc>
        <w:tc>
          <w:tcPr>
            <w:tcW w:w="2104" w:type="dxa"/>
            <w:tcBorders>
              <w:top w:val="double" w:sz="6" w:space="0" w:color="auto"/>
              <w:left w:val="nil"/>
              <w:bottom w:val="double" w:sz="6" w:space="0" w:color="auto"/>
              <w:right w:val="nil"/>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color w:val="FF0000"/>
              </w:rPr>
              <w:t>($121,087)</w:t>
            </w:r>
          </w:p>
        </w:tc>
        <w:tc>
          <w:tcPr>
            <w:tcW w:w="1710" w:type="dxa"/>
            <w:tcBorders>
              <w:top w:val="double" w:sz="6" w:space="0" w:color="auto"/>
              <w:left w:val="nil"/>
              <w:bottom w:val="double" w:sz="6" w:space="0" w:color="auto"/>
              <w:right w:val="double" w:sz="6" w:space="0" w:color="auto"/>
            </w:tcBorders>
            <w:shd w:val="clear" w:color="auto" w:fill="auto"/>
            <w:noWrap/>
            <w:vAlign w:val="bottom"/>
            <w:hideMark/>
          </w:tcPr>
          <w:p w:rsidR="00171E53" w:rsidRPr="00963CB6" w:rsidRDefault="00171E53" w:rsidP="00171E53">
            <w:pPr>
              <w:jc w:val="right"/>
              <w:rPr>
                <w:rFonts w:asciiTheme="minorHAnsi" w:hAnsiTheme="minorHAnsi" w:cs="Arial"/>
              </w:rPr>
            </w:pPr>
            <w:r w:rsidRPr="00963CB6">
              <w:rPr>
                <w:rFonts w:asciiTheme="minorHAnsi" w:hAnsiTheme="minorHAnsi" w:cs="Arial"/>
              </w:rPr>
              <w:t>-0.03%</w:t>
            </w:r>
          </w:p>
        </w:tc>
      </w:tr>
    </w:tbl>
    <w:p w:rsidR="00691FA0" w:rsidRPr="00963CB6" w:rsidRDefault="00691FA0" w:rsidP="00691FA0">
      <w:pPr>
        <w:pStyle w:val="Indent"/>
        <w:tabs>
          <w:tab w:val="left" w:pos="0"/>
        </w:tabs>
        <w:rPr>
          <w:rFonts w:asciiTheme="minorHAnsi" w:hAnsiTheme="minorHAnsi" w:cs="Arial"/>
          <w:bCs/>
          <w:noProof/>
          <w:sz w:val="24"/>
          <w:szCs w:val="24"/>
        </w:rPr>
      </w:pPr>
    </w:p>
    <w:p w:rsidR="00C049ED" w:rsidRPr="00963CB6" w:rsidRDefault="00C049ED" w:rsidP="00C049ED">
      <w:pPr>
        <w:tabs>
          <w:tab w:val="left" w:pos="0"/>
        </w:tabs>
        <w:rPr>
          <w:rFonts w:asciiTheme="minorHAnsi" w:hAnsiTheme="minorHAnsi"/>
        </w:rPr>
      </w:pPr>
      <w:r w:rsidRPr="00963CB6">
        <w:rPr>
          <w:rFonts w:asciiTheme="minorHAnsi" w:hAnsiTheme="minorHAnsi" w:cs="Arial"/>
          <w:b/>
        </w:rPr>
        <w:t xml:space="preserve">STAFF </w:t>
      </w:r>
      <w:r w:rsidR="007F2FA0" w:rsidRPr="00963CB6">
        <w:rPr>
          <w:rFonts w:asciiTheme="minorHAnsi" w:hAnsiTheme="minorHAnsi" w:cs="Arial"/>
          <w:b/>
        </w:rPr>
        <w:t>RECOMMENDATION:</w:t>
      </w:r>
    </w:p>
    <w:p w:rsidR="00C049ED" w:rsidRPr="00963CB6" w:rsidRDefault="00C049ED" w:rsidP="00483430">
      <w:pPr>
        <w:pStyle w:val="Indent"/>
        <w:tabs>
          <w:tab w:val="left" w:pos="0"/>
        </w:tabs>
        <w:ind w:left="0" w:firstLine="0"/>
        <w:rPr>
          <w:rFonts w:asciiTheme="minorHAnsi" w:hAnsiTheme="minorHAnsi"/>
          <w:sz w:val="24"/>
          <w:szCs w:val="24"/>
        </w:rPr>
      </w:pPr>
    </w:p>
    <w:p w:rsidR="00223E40" w:rsidRPr="00963CB6" w:rsidRDefault="00223E40" w:rsidP="009F6052">
      <w:pPr>
        <w:rPr>
          <w:rFonts w:asciiTheme="minorHAnsi" w:hAnsiTheme="minorHAnsi" w:cs="Arial"/>
        </w:rPr>
      </w:pPr>
      <w:r w:rsidRPr="00963CB6">
        <w:rPr>
          <w:rFonts w:asciiTheme="minorHAnsi" w:hAnsiTheme="minorHAnsi" w:cs="Arial"/>
        </w:rPr>
        <w:t xml:space="preserve">Recommend Strategic Fund </w:t>
      </w:r>
      <w:r w:rsidR="009F6052" w:rsidRPr="00963CB6">
        <w:rPr>
          <w:rFonts w:asciiTheme="minorHAnsi" w:hAnsiTheme="minorHAnsi" w:cs="Arial"/>
        </w:rPr>
        <w:t>allocation for the</w:t>
      </w:r>
      <w:r w:rsidR="004B7C3E" w:rsidRPr="00963CB6">
        <w:rPr>
          <w:rFonts w:asciiTheme="minorHAnsi" w:hAnsiTheme="minorHAnsi" w:cs="Arial"/>
        </w:rPr>
        <w:t xml:space="preserve"> </w:t>
      </w:r>
      <w:r w:rsidR="009F6052" w:rsidRPr="00963CB6">
        <w:rPr>
          <w:rFonts w:asciiTheme="minorHAnsi" w:hAnsiTheme="minorHAnsi" w:cs="Arial"/>
        </w:rPr>
        <w:t xml:space="preserve">2013-15 Biennium be adjusted to </w:t>
      </w:r>
      <w:r w:rsidRPr="00963CB6">
        <w:rPr>
          <w:rFonts w:asciiTheme="minorHAnsi" w:hAnsiTheme="minorHAnsi" w:cs="Arial"/>
        </w:rPr>
        <w:t>0.7</w:t>
      </w:r>
      <w:r w:rsidR="007B1A2C" w:rsidRPr="00963CB6">
        <w:rPr>
          <w:rFonts w:asciiTheme="minorHAnsi" w:hAnsiTheme="minorHAnsi" w:cs="Arial"/>
        </w:rPr>
        <w:t>0</w:t>
      </w:r>
      <w:r w:rsidRPr="00963CB6">
        <w:rPr>
          <w:rFonts w:asciiTheme="minorHAnsi" w:hAnsiTheme="minorHAnsi" w:cs="Arial"/>
        </w:rPr>
        <w:t>% of the CCSF appropriation</w:t>
      </w:r>
      <w:r w:rsidR="007B1A2C" w:rsidRPr="00963CB6">
        <w:rPr>
          <w:rFonts w:asciiTheme="minorHAnsi" w:hAnsiTheme="minorHAnsi" w:cs="Arial"/>
        </w:rPr>
        <w:t xml:space="preserve"> in the </w:t>
      </w:r>
      <w:r w:rsidR="00C41C99" w:rsidRPr="00963CB6">
        <w:rPr>
          <w:rFonts w:asciiTheme="minorHAnsi" w:hAnsiTheme="minorHAnsi" w:cs="Arial"/>
        </w:rPr>
        <w:t>L</w:t>
      </w:r>
      <w:r w:rsidR="007B1A2C" w:rsidRPr="00963CB6">
        <w:rPr>
          <w:rFonts w:asciiTheme="minorHAnsi" w:hAnsiTheme="minorHAnsi" w:cs="Arial"/>
        </w:rPr>
        <w:t>egislatively Approved Budget</w:t>
      </w:r>
      <w:r w:rsidR="009F6052" w:rsidRPr="00963CB6">
        <w:rPr>
          <w:rFonts w:asciiTheme="minorHAnsi" w:hAnsiTheme="minorHAnsi" w:cs="Arial"/>
        </w:rPr>
        <w:t xml:space="preserve"> as of the February 2014 Session</w:t>
      </w:r>
      <w:r w:rsidR="00351234" w:rsidRPr="00963CB6">
        <w:rPr>
          <w:rFonts w:asciiTheme="minorHAnsi" w:hAnsiTheme="minorHAnsi" w:cs="Arial"/>
        </w:rPr>
        <w:t xml:space="preserve">.  The appropriation amount is </w:t>
      </w:r>
      <w:r w:rsidR="00C415E0" w:rsidRPr="00963CB6">
        <w:rPr>
          <w:rFonts w:asciiTheme="minorHAnsi" w:hAnsiTheme="minorHAnsi" w:cs="Arial"/>
        </w:rPr>
        <w:t>$464,878,913.</w:t>
      </w:r>
      <w:r w:rsidR="003935EB" w:rsidRPr="00963CB6">
        <w:rPr>
          <w:rFonts w:asciiTheme="minorHAnsi" w:hAnsiTheme="minorHAnsi" w:cs="Arial"/>
        </w:rPr>
        <w:t xml:space="preserve"> </w:t>
      </w:r>
    </w:p>
    <w:p w:rsidR="00223E40" w:rsidRPr="00963CB6" w:rsidRDefault="00223E40" w:rsidP="00223E40">
      <w:pPr>
        <w:tabs>
          <w:tab w:val="left" w:pos="4680"/>
        </w:tabs>
        <w:overflowPunct w:val="0"/>
        <w:autoSpaceDE w:val="0"/>
        <w:autoSpaceDN w:val="0"/>
        <w:adjustRightInd w:val="0"/>
        <w:textAlignment w:val="baseline"/>
        <w:rPr>
          <w:rFonts w:asciiTheme="minorHAnsi" w:hAnsiTheme="minorHAnsi" w:cs="Arial"/>
          <w:u w:val="single"/>
        </w:rPr>
      </w:pPr>
    </w:p>
    <w:tbl>
      <w:tblPr>
        <w:tblW w:w="8539" w:type="dxa"/>
        <w:jc w:val="center"/>
        <w:tblInd w:w="-10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99"/>
        <w:gridCol w:w="2340"/>
      </w:tblGrid>
      <w:tr w:rsidR="00C41C99" w:rsidRPr="00963CB6" w:rsidTr="00CC21FD">
        <w:trPr>
          <w:trHeight w:val="368"/>
          <w:jc w:val="center"/>
        </w:trPr>
        <w:tc>
          <w:tcPr>
            <w:tcW w:w="8539" w:type="dxa"/>
            <w:gridSpan w:val="2"/>
            <w:shd w:val="clear" w:color="auto" w:fill="C0C0C0"/>
            <w:vAlign w:val="center"/>
          </w:tcPr>
          <w:p w:rsidR="00C41C99" w:rsidRPr="00963CB6" w:rsidRDefault="00C41C99" w:rsidP="00CC21FD">
            <w:pPr>
              <w:rPr>
                <w:rFonts w:asciiTheme="minorHAnsi" w:hAnsiTheme="minorHAnsi" w:cs="Arial"/>
                <w:b/>
              </w:rPr>
            </w:pPr>
            <w:r w:rsidRPr="00963CB6">
              <w:rPr>
                <w:rFonts w:asciiTheme="minorHAnsi" w:hAnsiTheme="minorHAnsi" w:cs="Arial"/>
                <w:b/>
                <w:bCs/>
              </w:rPr>
              <w:t>Resolution</w:t>
            </w:r>
          </w:p>
        </w:tc>
      </w:tr>
      <w:tr w:rsidR="00223E40" w:rsidRPr="00963CB6" w:rsidTr="00CC21FD">
        <w:trPr>
          <w:trHeight w:val="58"/>
          <w:jc w:val="center"/>
        </w:trPr>
        <w:tc>
          <w:tcPr>
            <w:tcW w:w="6199" w:type="dxa"/>
            <w:vAlign w:val="center"/>
          </w:tcPr>
          <w:p w:rsidR="00223E40" w:rsidRPr="00963CB6" w:rsidRDefault="00223E40" w:rsidP="007F2FA0">
            <w:pPr>
              <w:tabs>
                <w:tab w:val="left" w:pos="4680"/>
              </w:tabs>
              <w:overflowPunct w:val="0"/>
              <w:autoSpaceDE w:val="0"/>
              <w:autoSpaceDN w:val="0"/>
              <w:adjustRightInd w:val="0"/>
              <w:jc w:val="both"/>
              <w:textAlignment w:val="baseline"/>
              <w:rPr>
                <w:rFonts w:asciiTheme="minorHAnsi" w:hAnsiTheme="minorHAnsi" w:cs="Arial"/>
              </w:rPr>
            </w:pPr>
            <w:r w:rsidRPr="00963CB6">
              <w:rPr>
                <w:rFonts w:asciiTheme="minorHAnsi" w:hAnsiTheme="minorHAnsi" w:cs="Arial"/>
              </w:rPr>
              <w:t>Percent of CCSF Appropriation</w:t>
            </w:r>
            <w:r w:rsidR="00CC21FD" w:rsidRPr="00963CB6">
              <w:rPr>
                <w:rFonts w:asciiTheme="minorHAnsi" w:hAnsiTheme="minorHAnsi" w:cs="Arial"/>
              </w:rPr>
              <w:t xml:space="preserve"> as of February 2014 Session</w:t>
            </w:r>
          </w:p>
        </w:tc>
        <w:tc>
          <w:tcPr>
            <w:tcW w:w="2340" w:type="dxa"/>
          </w:tcPr>
          <w:p w:rsidR="00223E40" w:rsidRPr="00963CB6" w:rsidRDefault="00223E40" w:rsidP="00223E40">
            <w:pPr>
              <w:tabs>
                <w:tab w:val="left" w:pos="4680"/>
              </w:tabs>
              <w:overflowPunct w:val="0"/>
              <w:autoSpaceDE w:val="0"/>
              <w:autoSpaceDN w:val="0"/>
              <w:adjustRightInd w:val="0"/>
              <w:spacing w:before="120"/>
              <w:jc w:val="center"/>
              <w:textAlignment w:val="baseline"/>
              <w:rPr>
                <w:rFonts w:asciiTheme="minorHAnsi" w:hAnsiTheme="minorHAnsi" w:cs="Arial"/>
              </w:rPr>
            </w:pPr>
            <w:r w:rsidRPr="00963CB6">
              <w:rPr>
                <w:rFonts w:asciiTheme="minorHAnsi" w:hAnsiTheme="minorHAnsi" w:cs="Arial"/>
              </w:rPr>
              <w:t>0.</w:t>
            </w:r>
            <w:r w:rsidR="007B1A2C" w:rsidRPr="00963CB6">
              <w:rPr>
                <w:rFonts w:asciiTheme="minorHAnsi" w:hAnsiTheme="minorHAnsi" w:cs="Arial"/>
              </w:rPr>
              <w:t>70%</w:t>
            </w:r>
          </w:p>
        </w:tc>
      </w:tr>
      <w:tr w:rsidR="00223E40" w:rsidRPr="00963CB6" w:rsidTr="00CC21FD">
        <w:trPr>
          <w:trHeight w:val="359"/>
          <w:jc w:val="center"/>
        </w:trPr>
        <w:tc>
          <w:tcPr>
            <w:tcW w:w="6199" w:type="dxa"/>
            <w:vAlign w:val="center"/>
          </w:tcPr>
          <w:p w:rsidR="00223E40" w:rsidRPr="00963CB6" w:rsidRDefault="00B03B19" w:rsidP="00223E40">
            <w:pPr>
              <w:tabs>
                <w:tab w:val="left" w:pos="4680"/>
              </w:tabs>
              <w:overflowPunct w:val="0"/>
              <w:autoSpaceDE w:val="0"/>
              <w:autoSpaceDN w:val="0"/>
              <w:adjustRightInd w:val="0"/>
              <w:textAlignment w:val="baseline"/>
              <w:rPr>
                <w:rFonts w:asciiTheme="minorHAnsi" w:hAnsiTheme="minorHAnsi" w:cs="Arial"/>
              </w:rPr>
            </w:pPr>
            <w:r w:rsidRPr="00963CB6">
              <w:rPr>
                <w:rFonts w:asciiTheme="minorHAnsi" w:hAnsiTheme="minorHAnsi" w:cs="Arial"/>
              </w:rPr>
              <w:t xml:space="preserve">2013-15 CCSF </w:t>
            </w:r>
            <w:r w:rsidR="00223E40" w:rsidRPr="00963CB6">
              <w:rPr>
                <w:rFonts w:asciiTheme="minorHAnsi" w:hAnsiTheme="minorHAnsi" w:cs="Arial"/>
              </w:rPr>
              <w:t xml:space="preserve">Strategic Fund </w:t>
            </w:r>
            <w:r w:rsidR="00C41C99" w:rsidRPr="00963CB6">
              <w:rPr>
                <w:rFonts w:asciiTheme="minorHAnsi" w:hAnsiTheme="minorHAnsi" w:cs="Arial"/>
              </w:rPr>
              <w:t>Allocation</w:t>
            </w:r>
          </w:p>
        </w:tc>
        <w:tc>
          <w:tcPr>
            <w:tcW w:w="2340" w:type="dxa"/>
          </w:tcPr>
          <w:p w:rsidR="00223E40" w:rsidRPr="00963CB6" w:rsidRDefault="00223E40" w:rsidP="004B7C3E">
            <w:pPr>
              <w:tabs>
                <w:tab w:val="left" w:pos="4680"/>
              </w:tabs>
              <w:overflowPunct w:val="0"/>
              <w:autoSpaceDE w:val="0"/>
              <w:autoSpaceDN w:val="0"/>
              <w:adjustRightInd w:val="0"/>
              <w:spacing w:before="120"/>
              <w:jc w:val="center"/>
              <w:textAlignment w:val="baseline"/>
              <w:rPr>
                <w:rFonts w:asciiTheme="minorHAnsi" w:hAnsiTheme="minorHAnsi" w:cs="Arial"/>
              </w:rPr>
            </w:pPr>
            <w:r w:rsidRPr="00963CB6">
              <w:rPr>
                <w:rFonts w:asciiTheme="minorHAnsi" w:hAnsiTheme="minorHAnsi" w:cs="Arial"/>
              </w:rPr>
              <w:t>$</w:t>
            </w:r>
            <w:r w:rsidR="004B7C3E" w:rsidRPr="00963CB6">
              <w:rPr>
                <w:rFonts w:asciiTheme="minorHAnsi" w:hAnsiTheme="minorHAnsi" w:cs="Arial"/>
              </w:rPr>
              <w:t>3,253,913</w:t>
            </w:r>
          </w:p>
        </w:tc>
      </w:tr>
    </w:tbl>
    <w:p w:rsidR="00223E40" w:rsidRPr="00963CB6" w:rsidRDefault="00223E40" w:rsidP="00223E40">
      <w:pPr>
        <w:spacing w:after="200" w:line="276" w:lineRule="auto"/>
        <w:rPr>
          <w:rFonts w:asciiTheme="minorHAnsi" w:eastAsia="Calibri" w:hAnsiTheme="minorHAnsi"/>
        </w:rPr>
      </w:pPr>
      <w:r w:rsidRPr="00963CB6">
        <w:rPr>
          <w:rFonts w:asciiTheme="minorHAnsi" w:eastAsia="Calibri" w:hAnsiTheme="minorHAnsi"/>
        </w:rPr>
        <w:br w:type="page"/>
      </w:r>
    </w:p>
    <w:p w:rsidR="001D0F98" w:rsidRPr="00963CB6" w:rsidRDefault="001D0F98" w:rsidP="001D0F98">
      <w:pPr>
        <w:pStyle w:val="NormalWeb"/>
        <w:spacing w:before="0" w:beforeAutospacing="0" w:after="0" w:afterAutospacing="0"/>
        <w:ind w:left="720"/>
        <w:jc w:val="right"/>
        <w:rPr>
          <w:rFonts w:asciiTheme="minorHAnsi" w:hAnsiTheme="minorHAnsi" w:cs="Arial"/>
          <w:bCs/>
          <w:noProof/>
        </w:rPr>
      </w:pPr>
    </w:p>
    <w:p w:rsidR="001D0F98" w:rsidRPr="00963CB6" w:rsidRDefault="001D0F98" w:rsidP="001D0F98">
      <w:pPr>
        <w:pStyle w:val="NormalWeb"/>
        <w:spacing w:before="0" w:beforeAutospacing="0" w:after="0" w:afterAutospacing="0"/>
        <w:ind w:left="720"/>
        <w:jc w:val="right"/>
        <w:rPr>
          <w:rFonts w:asciiTheme="minorHAnsi" w:hAnsiTheme="minorHAnsi" w:cs="Arial"/>
          <w:bCs/>
          <w:noProof/>
        </w:rPr>
      </w:pPr>
      <w:r w:rsidRPr="00963CB6">
        <w:rPr>
          <w:rFonts w:asciiTheme="minorHAnsi" w:hAnsiTheme="minorHAnsi" w:cs="Arial"/>
          <w:bCs/>
          <w:noProof/>
        </w:rPr>
        <w:t>Attachment A</w:t>
      </w:r>
    </w:p>
    <w:p w:rsidR="001D0F98" w:rsidRPr="00963CB6" w:rsidRDefault="001D0F98" w:rsidP="001D0F98">
      <w:pPr>
        <w:pStyle w:val="NormalWeb"/>
        <w:spacing w:before="0" w:beforeAutospacing="0" w:after="0" w:afterAutospacing="0"/>
        <w:ind w:left="720"/>
        <w:jc w:val="right"/>
        <w:rPr>
          <w:rFonts w:asciiTheme="minorHAnsi" w:hAnsiTheme="minorHAnsi" w:cs="Arial"/>
          <w:bCs/>
          <w:noProof/>
        </w:rPr>
      </w:pPr>
    </w:p>
    <w:p w:rsidR="001D0F98" w:rsidRPr="00963CB6" w:rsidRDefault="001D0F98" w:rsidP="001D0F98">
      <w:pPr>
        <w:pStyle w:val="NormalWeb"/>
        <w:spacing w:before="0" w:beforeAutospacing="0" w:after="0" w:afterAutospacing="0"/>
        <w:ind w:left="720"/>
        <w:jc w:val="right"/>
        <w:rPr>
          <w:rFonts w:asciiTheme="minorHAnsi" w:hAnsiTheme="minorHAnsi" w:cs="Arial"/>
          <w:bCs/>
          <w:noProof/>
        </w:rPr>
      </w:pPr>
    </w:p>
    <w:p w:rsidR="001D0F98" w:rsidRPr="00963CB6" w:rsidRDefault="001D0F98" w:rsidP="001D0F98">
      <w:pPr>
        <w:pStyle w:val="Indent"/>
        <w:tabs>
          <w:tab w:val="left" w:pos="0"/>
        </w:tabs>
        <w:ind w:left="0" w:firstLine="0"/>
        <w:rPr>
          <w:rFonts w:asciiTheme="minorHAnsi" w:hAnsiTheme="minorHAnsi"/>
          <w:b/>
          <w:sz w:val="24"/>
          <w:szCs w:val="24"/>
        </w:rPr>
      </w:pPr>
    </w:p>
    <w:p w:rsidR="001D0F98" w:rsidRPr="00963CB6" w:rsidRDefault="001D0F98" w:rsidP="001D0F98">
      <w:pPr>
        <w:pStyle w:val="Indent"/>
        <w:tabs>
          <w:tab w:val="left" w:pos="0"/>
        </w:tabs>
        <w:ind w:left="0" w:firstLine="0"/>
        <w:rPr>
          <w:rFonts w:asciiTheme="minorHAnsi" w:hAnsiTheme="minorHAnsi"/>
          <w:b/>
          <w:sz w:val="24"/>
          <w:szCs w:val="24"/>
        </w:rPr>
      </w:pPr>
      <w:r w:rsidRPr="00963CB6">
        <w:rPr>
          <w:rFonts w:asciiTheme="minorHAnsi" w:hAnsiTheme="minorHAnsi"/>
          <w:b/>
          <w:sz w:val="24"/>
          <w:szCs w:val="24"/>
        </w:rPr>
        <w:t>Historic Strategic Fund Expenditures</w:t>
      </w:r>
    </w:p>
    <w:p w:rsidR="001D0F98" w:rsidRPr="00963CB6" w:rsidRDefault="001D0F98" w:rsidP="001D0F98">
      <w:pPr>
        <w:pStyle w:val="Indent"/>
        <w:tabs>
          <w:tab w:val="left" w:pos="0"/>
        </w:tabs>
        <w:ind w:left="0" w:firstLine="0"/>
        <w:rPr>
          <w:rFonts w:asciiTheme="minorHAnsi" w:hAnsiTheme="minorHAnsi"/>
          <w:b/>
          <w:sz w:val="24"/>
          <w:szCs w:val="24"/>
        </w:rPr>
      </w:pPr>
    </w:p>
    <w:p w:rsidR="001D0F98" w:rsidRPr="00963CB6" w:rsidRDefault="001D0F98" w:rsidP="001D0F98">
      <w:pPr>
        <w:pStyle w:val="Indent"/>
        <w:tabs>
          <w:tab w:val="left" w:pos="0"/>
        </w:tabs>
        <w:ind w:left="0" w:firstLine="0"/>
        <w:rPr>
          <w:rFonts w:asciiTheme="minorHAnsi" w:hAnsiTheme="minorHAnsi"/>
          <w:sz w:val="24"/>
          <w:szCs w:val="24"/>
        </w:rPr>
      </w:pPr>
      <w:r w:rsidRPr="00963CB6">
        <w:rPr>
          <w:rFonts w:asciiTheme="minorHAnsi" w:hAnsiTheme="minorHAnsi"/>
          <w:sz w:val="24"/>
          <w:szCs w:val="24"/>
        </w:rPr>
        <w:t>Strategic Funds have been used to support innovations and initiatives that impact all 17 community colleges. These expenditures have fallen into the following categories: Dues and memberships; Research; Student Success Initiatives; and Healthcare. Examples of expenditures include:</w:t>
      </w:r>
    </w:p>
    <w:p w:rsidR="001D0F98" w:rsidRPr="00963CB6" w:rsidRDefault="001D0F98" w:rsidP="001D0F98">
      <w:pPr>
        <w:pStyle w:val="Indent"/>
        <w:tabs>
          <w:tab w:val="left" w:pos="0"/>
        </w:tabs>
        <w:ind w:left="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 xml:space="preserve">Career Pathways Initiative </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Oregon Consortium for Nursing Education</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Eastern Promise</w:t>
      </w:r>
    </w:p>
    <w:p w:rsidR="001D0F98" w:rsidRPr="00963CB6" w:rsidRDefault="001D0F98" w:rsidP="001D0F98">
      <w:pPr>
        <w:pStyle w:val="ListParagraph"/>
        <w:rPr>
          <w:rFonts w:asciiTheme="minorHAnsi" w:hAnsiTheme="minorHAnsi"/>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Foundations of Excellence in the First Year of College</w:t>
      </w:r>
    </w:p>
    <w:p w:rsidR="001D0F98" w:rsidRPr="00963CB6" w:rsidRDefault="001D0F98" w:rsidP="001D0F98">
      <w:pPr>
        <w:pStyle w:val="ListParagraph"/>
        <w:rPr>
          <w:rFonts w:asciiTheme="minorHAnsi" w:hAnsiTheme="minorHAnsi"/>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Mobile Welding Lab</w:t>
      </w:r>
    </w:p>
    <w:p w:rsidR="001D0F98" w:rsidRPr="00963CB6" w:rsidRDefault="001D0F98" w:rsidP="001D0F98">
      <w:pPr>
        <w:pStyle w:val="ListParagraph"/>
        <w:rPr>
          <w:rFonts w:asciiTheme="minorHAnsi" w:hAnsiTheme="minorHAnsi"/>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Regional Compacts Pilot Redesign of the Oregon Community College Unified Reporting System (OCCURS)</w:t>
      </w:r>
    </w:p>
    <w:p w:rsidR="001D0F98" w:rsidRPr="00963CB6" w:rsidRDefault="001D0F98" w:rsidP="001D0F98">
      <w:pPr>
        <w:pStyle w:val="Indent"/>
        <w:tabs>
          <w:tab w:val="left" w:pos="0"/>
        </w:tabs>
        <w:rPr>
          <w:rFonts w:asciiTheme="minorHAnsi" w:hAnsiTheme="minorHAnsi"/>
          <w:sz w:val="24"/>
          <w:szCs w:val="24"/>
        </w:rPr>
      </w:pPr>
    </w:p>
    <w:p w:rsidR="001D0F98" w:rsidRPr="00963CB6" w:rsidRDefault="001D0F98" w:rsidP="001D0F98">
      <w:pPr>
        <w:pStyle w:val="Indent"/>
        <w:tabs>
          <w:tab w:val="left" w:pos="0"/>
        </w:tabs>
        <w:rPr>
          <w:rFonts w:asciiTheme="minorHAnsi" w:hAnsiTheme="minorHAnsi"/>
          <w:sz w:val="24"/>
          <w:szCs w:val="24"/>
        </w:rPr>
      </w:pPr>
    </w:p>
    <w:p w:rsidR="001D0F98" w:rsidRPr="00963CB6" w:rsidRDefault="001D0F98" w:rsidP="001D0F98">
      <w:pPr>
        <w:pStyle w:val="Indent"/>
        <w:tabs>
          <w:tab w:val="left" w:pos="0"/>
        </w:tabs>
        <w:rPr>
          <w:rFonts w:asciiTheme="minorHAnsi" w:hAnsiTheme="minorHAnsi"/>
          <w:b/>
          <w:sz w:val="24"/>
          <w:szCs w:val="24"/>
        </w:rPr>
      </w:pPr>
      <w:r w:rsidRPr="00963CB6">
        <w:rPr>
          <w:rFonts w:asciiTheme="minorHAnsi" w:hAnsiTheme="minorHAnsi"/>
          <w:b/>
          <w:sz w:val="24"/>
          <w:szCs w:val="24"/>
        </w:rPr>
        <w:t>Priorities for the 2013-15 Biennium</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Career Pathways Initiative</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Developmental Education Reform</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Data for Analysis (D4A)</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rsidP="001D0F98">
      <w:pPr>
        <w:pStyle w:val="Indent"/>
        <w:numPr>
          <w:ilvl w:val="0"/>
          <w:numId w:val="13"/>
        </w:numPr>
        <w:tabs>
          <w:tab w:val="left" w:pos="0"/>
        </w:tabs>
        <w:rPr>
          <w:rFonts w:asciiTheme="minorHAnsi" w:hAnsiTheme="minorHAnsi"/>
          <w:sz w:val="24"/>
          <w:szCs w:val="24"/>
        </w:rPr>
      </w:pPr>
      <w:r w:rsidRPr="00963CB6">
        <w:rPr>
          <w:rFonts w:asciiTheme="minorHAnsi" w:hAnsiTheme="minorHAnsi"/>
          <w:sz w:val="24"/>
          <w:szCs w:val="24"/>
        </w:rPr>
        <w:t>Learning Standards Phase 4 (Common Core)</w:t>
      </w:r>
    </w:p>
    <w:p w:rsidR="001D0F98" w:rsidRPr="00963CB6" w:rsidRDefault="001D0F98" w:rsidP="001D0F98">
      <w:pPr>
        <w:pStyle w:val="Indent"/>
        <w:tabs>
          <w:tab w:val="left" w:pos="0"/>
        </w:tabs>
        <w:ind w:left="360" w:firstLine="0"/>
        <w:rPr>
          <w:rFonts w:asciiTheme="minorHAnsi" w:hAnsiTheme="minorHAnsi"/>
          <w:sz w:val="24"/>
          <w:szCs w:val="24"/>
        </w:rPr>
      </w:pPr>
    </w:p>
    <w:p w:rsidR="001D0F98" w:rsidRPr="00963CB6" w:rsidRDefault="001D0F98">
      <w:pPr>
        <w:rPr>
          <w:rFonts w:asciiTheme="minorHAnsi" w:hAnsiTheme="minorHAnsi" w:cs="Arial"/>
          <w:bCs/>
          <w:noProof/>
        </w:rPr>
      </w:pPr>
      <w:r w:rsidRPr="00963CB6">
        <w:rPr>
          <w:rFonts w:asciiTheme="minorHAnsi" w:hAnsiTheme="minorHAnsi" w:cs="Arial"/>
          <w:bCs/>
          <w:noProof/>
        </w:rPr>
        <w:br w:type="page"/>
      </w:r>
    </w:p>
    <w:p w:rsidR="001D0F98" w:rsidRPr="00963CB6" w:rsidRDefault="001D0F98" w:rsidP="00B03B19">
      <w:pPr>
        <w:pStyle w:val="NormalWeb"/>
        <w:spacing w:before="0" w:beforeAutospacing="0" w:after="0" w:afterAutospacing="0"/>
        <w:ind w:left="720"/>
        <w:jc w:val="right"/>
        <w:rPr>
          <w:rFonts w:asciiTheme="minorHAnsi" w:hAnsiTheme="minorHAnsi" w:cs="Arial"/>
          <w:bCs/>
          <w:noProof/>
        </w:rPr>
      </w:pPr>
    </w:p>
    <w:p w:rsidR="00B03B19" w:rsidRPr="00963CB6" w:rsidRDefault="001D0F98" w:rsidP="00B03B19">
      <w:pPr>
        <w:pStyle w:val="NormalWeb"/>
        <w:spacing w:before="0" w:beforeAutospacing="0" w:after="0" w:afterAutospacing="0"/>
        <w:ind w:left="720"/>
        <w:jc w:val="right"/>
        <w:rPr>
          <w:rFonts w:asciiTheme="minorHAnsi" w:hAnsiTheme="minorHAnsi" w:cs="Arial"/>
          <w:bCs/>
          <w:noProof/>
        </w:rPr>
      </w:pPr>
      <w:r w:rsidRPr="00963CB6">
        <w:rPr>
          <w:rFonts w:asciiTheme="minorHAnsi" w:hAnsiTheme="minorHAnsi" w:cs="Arial"/>
          <w:bCs/>
          <w:noProof/>
        </w:rPr>
        <w:t>Attachment B</w:t>
      </w:r>
    </w:p>
    <w:p w:rsidR="001D0F98" w:rsidRPr="00963CB6" w:rsidRDefault="001D0F98" w:rsidP="00B03B19">
      <w:pPr>
        <w:pStyle w:val="NormalWeb"/>
        <w:spacing w:before="0" w:beforeAutospacing="0" w:after="0" w:afterAutospacing="0"/>
        <w:ind w:left="720"/>
        <w:jc w:val="right"/>
        <w:rPr>
          <w:rFonts w:asciiTheme="minorHAnsi" w:hAnsiTheme="minorHAnsi" w:cs="Arial"/>
          <w:bCs/>
          <w:noProof/>
        </w:rPr>
      </w:pPr>
    </w:p>
    <w:p w:rsidR="00B03B19" w:rsidRPr="00963CB6" w:rsidRDefault="00B03B19" w:rsidP="00B03B19">
      <w:pPr>
        <w:pStyle w:val="NormalWeb"/>
        <w:spacing w:before="0" w:beforeAutospacing="0" w:after="0" w:afterAutospacing="0"/>
        <w:rPr>
          <w:rFonts w:asciiTheme="minorHAnsi" w:hAnsiTheme="minorHAnsi" w:cs="Arial"/>
          <w:b/>
          <w:bCs/>
          <w:noProof/>
        </w:rPr>
      </w:pPr>
    </w:p>
    <w:p w:rsidR="00193ACF" w:rsidRPr="00963CB6" w:rsidRDefault="00B03B19" w:rsidP="00B03B19">
      <w:pPr>
        <w:pStyle w:val="NormalWeb"/>
        <w:spacing w:before="0" w:beforeAutospacing="0" w:after="0" w:afterAutospacing="0"/>
        <w:rPr>
          <w:rFonts w:asciiTheme="minorHAnsi" w:hAnsiTheme="minorHAnsi" w:cs="Arial"/>
          <w:b/>
          <w:bCs/>
          <w:noProof/>
        </w:rPr>
      </w:pPr>
      <w:r w:rsidRPr="00963CB6">
        <w:rPr>
          <w:rFonts w:asciiTheme="minorHAnsi" w:hAnsiTheme="minorHAnsi" w:cs="Arial"/>
          <w:b/>
          <w:bCs/>
          <w:noProof/>
        </w:rPr>
        <w:t>Strategic Fund Rule Summary</w:t>
      </w:r>
    </w:p>
    <w:p w:rsidR="00B03B19" w:rsidRPr="00963CB6" w:rsidRDefault="00B03B19" w:rsidP="00193ACF">
      <w:pPr>
        <w:pStyle w:val="NormalWeb"/>
        <w:spacing w:before="0" w:beforeAutospacing="0" w:after="0" w:afterAutospacing="0"/>
        <w:ind w:left="720"/>
        <w:rPr>
          <w:rFonts w:asciiTheme="minorHAnsi" w:hAnsiTheme="minorHAnsi" w:cs="Arial"/>
          <w:bCs/>
          <w:noProof/>
        </w:rPr>
      </w:pPr>
    </w:p>
    <w:p w:rsidR="00B03B19" w:rsidRPr="00963CB6" w:rsidRDefault="00B03B19" w:rsidP="00B03B19">
      <w:pPr>
        <w:spacing w:after="200" w:line="276" w:lineRule="auto"/>
        <w:ind w:left="720"/>
        <w:rPr>
          <w:rFonts w:asciiTheme="minorHAnsi" w:hAnsiTheme="minorHAnsi" w:cs="Arial"/>
          <w:bCs/>
          <w:noProof/>
        </w:rPr>
      </w:pPr>
      <w:r w:rsidRPr="00963CB6">
        <w:rPr>
          <w:rFonts w:asciiTheme="minorHAnsi" w:hAnsiTheme="minorHAnsi" w:cs="Arial"/>
          <w:bCs/>
          <w:noProof/>
        </w:rPr>
        <w:t xml:space="preserve">The Board established a Strategic Fund that serves two purposes:  1) proposals to incentivize statewide initiatives and activities, and 2) requests from individual institutions for assistance in meeting new expectations stemming from legislative change.  </w:t>
      </w:r>
    </w:p>
    <w:p w:rsidR="00193ACF" w:rsidRPr="00963CB6" w:rsidRDefault="00193ACF" w:rsidP="00B03B19">
      <w:pPr>
        <w:spacing w:line="276" w:lineRule="auto"/>
        <w:ind w:left="720"/>
        <w:rPr>
          <w:rFonts w:asciiTheme="minorHAnsi" w:hAnsiTheme="minorHAnsi" w:cs="Arial"/>
          <w:bCs/>
          <w:noProof/>
        </w:rPr>
      </w:pPr>
      <w:r w:rsidRPr="00963CB6">
        <w:rPr>
          <w:rFonts w:asciiTheme="minorHAnsi" w:hAnsiTheme="minorHAnsi" w:cs="Arial"/>
          <w:bCs/>
          <w:noProof/>
        </w:rPr>
        <w:t>The Commissioner has discretion to review, rank and approve proposals to incentivize statewide initiatives or activities.  As each proposal is approved, the Commissioner provides the Board with a report detailing the purpose of the activity, the amount of Strategic Fund monies approved, and the proposal’s merit as assessed under the following parameters:</w:t>
      </w:r>
    </w:p>
    <w:p w:rsidR="00193ACF" w:rsidRPr="00963CB6" w:rsidRDefault="00193ACF" w:rsidP="00193ACF">
      <w:pPr>
        <w:spacing w:line="276" w:lineRule="auto"/>
        <w:rPr>
          <w:rFonts w:asciiTheme="minorHAnsi" w:hAnsiTheme="minorHAnsi" w:cs="Arial"/>
          <w:bCs/>
          <w:noProof/>
        </w:rPr>
      </w:pPr>
    </w:p>
    <w:p w:rsidR="00193ACF" w:rsidRPr="00963CB6" w:rsidRDefault="00193ACF" w:rsidP="00193ACF">
      <w:pPr>
        <w:numPr>
          <w:ilvl w:val="0"/>
          <w:numId w:val="11"/>
        </w:numPr>
        <w:tabs>
          <w:tab w:val="clear" w:pos="720"/>
          <w:tab w:val="num" w:pos="1080"/>
        </w:tabs>
        <w:spacing w:line="276" w:lineRule="auto"/>
        <w:ind w:left="1080"/>
        <w:rPr>
          <w:rFonts w:asciiTheme="minorHAnsi" w:hAnsiTheme="minorHAnsi" w:cs="Arial"/>
          <w:bCs/>
          <w:noProof/>
        </w:rPr>
      </w:pPr>
      <w:r w:rsidRPr="00963CB6">
        <w:rPr>
          <w:rFonts w:asciiTheme="minorHAnsi" w:hAnsiTheme="minorHAnsi" w:cs="Arial"/>
          <w:bCs/>
          <w:noProof/>
        </w:rPr>
        <w:t>Purpose of the proposal.</w:t>
      </w:r>
    </w:p>
    <w:p w:rsidR="00193ACF" w:rsidRPr="00963CB6" w:rsidRDefault="00193ACF" w:rsidP="00193ACF">
      <w:pPr>
        <w:numPr>
          <w:ilvl w:val="0"/>
          <w:numId w:val="11"/>
        </w:numPr>
        <w:tabs>
          <w:tab w:val="clear" w:pos="720"/>
          <w:tab w:val="num" w:pos="1080"/>
        </w:tabs>
        <w:spacing w:line="276" w:lineRule="auto"/>
        <w:ind w:left="1080"/>
        <w:rPr>
          <w:rFonts w:asciiTheme="minorHAnsi" w:hAnsiTheme="minorHAnsi" w:cs="Arial"/>
          <w:bCs/>
          <w:noProof/>
        </w:rPr>
      </w:pPr>
      <w:r w:rsidRPr="00963CB6">
        <w:rPr>
          <w:rFonts w:asciiTheme="minorHAnsi" w:hAnsiTheme="minorHAnsi" w:cs="Arial"/>
          <w:bCs/>
          <w:noProof/>
        </w:rPr>
        <w:t>How does the activity support the initiatives and work plans of the Department and the State Board?</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Does the activity relate to the Department’s Key Performance Measures or other program-specific measures?</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Is the funding one time (for this biennium) or will additional funding be needed in the future?</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If future funding is needed, how will those resources be obtained? Is the activity sustainable?</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What is the activity’s impact on the State three years from now?  Five years from now?</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What change is anticipated?</w:t>
      </w:r>
    </w:p>
    <w:p w:rsidR="00193ACF" w:rsidRPr="00963CB6" w:rsidRDefault="00193ACF" w:rsidP="00193ACF">
      <w:pPr>
        <w:numPr>
          <w:ilvl w:val="0"/>
          <w:numId w:val="11"/>
        </w:numPr>
        <w:spacing w:line="276" w:lineRule="auto"/>
        <w:ind w:left="1080"/>
        <w:rPr>
          <w:rFonts w:asciiTheme="minorHAnsi" w:hAnsiTheme="minorHAnsi" w:cs="Arial"/>
          <w:bCs/>
          <w:noProof/>
        </w:rPr>
      </w:pPr>
      <w:r w:rsidRPr="00963CB6">
        <w:rPr>
          <w:rFonts w:asciiTheme="minorHAnsi" w:hAnsiTheme="minorHAnsi" w:cs="Arial"/>
          <w:bCs/>
          <w:noProof/>
        </w:rPr>
        <w:t>How will progress be measured?</w:t>
      </w:r>
    </w:p>
    <w:p w:rsidR="00193ACF" w:rsidRPr="00963CB6" w:rsidRDefault="00193ACF" w:rsidP="00193ACF">
      <w:pPr>
        <w:spacing w:line="276" w:lineRule="auto"/>
        <w:ind w:left="360"/>
        <w:rPr>
          <w:rFonts w:asciiTheme="minorHAnsi" w:hAnsiTheme="minorHAnsi" w:cs="Arial"/>
          <w:bCs/>
          <w:noProof/>
        </w:rPr>
      </w:pPr>
    </w:p>
    <w:p w:rsidR="00193ACF" w:rsidRPr="00963CB6" w:rsidRDefault="00242EB1" w:rsidP="00B03B19">
      <w:pPr>
        <w:spacing w:line="276" w:lineRule="auto"/>
        <w:ind w:left="720"/>
        <w:rPr>
          <w:rFonts w:asciiTheme="minorHAnsi" w:hAnsiTheme="minorHAnsi" w:cs="Arial"/>
          <w:bCs/>
          <w:noProof/>
        </w:rPr>
      </w:pPr>
      <w:r w:rsidRPr="00963CB6">
        <w:rPr>
          <w:rFonts w:asciiTheme="minorHAnsi" w:hAnsiTheme="minorHAnsi" w:cs="Arial"/>
          <w:bCs/>
          <w:noProof/>
        </w:rPr>
        <w:t xml:space="preserve">Regarding </w:t>
      </w:r>
      <w:r w:rsidR="00193ACF" w:rsidRPr="00963CB6">
        <w:rPr>
          <w:rFonts w:asciiTheme="minorHAnsi" w:hAnsiTheme="minorHAnsi" w:cs="Arial"/>
          <w:bCs/>
          <w:noProof/>
        </w:rPr>
        <w:t>requests for one-time assistance from individual institutions to meet new expectations stemming from legislative change, CCWD brings the requests to the Board for discussion and consideration. CCWD assesses requests based on the parameters outlined below and provides a recommendation and reasoning to the Board on whether the request merits funding.</w:t>
      </w:r>
    </w:p>
    <w:p w:rsidR="00193ACF" w:rsidRPr="00963CB6" w:rsidRDefault="00193ACF" w:rsidP="00193ACF">
      <w:pPr>
        <w:spacing w:line="276" w:lineRule="auto"/>
        <w:ind w:left="360"/>
        <w:rPr>
          <w:rFonts w:asciiTheme="minorHAnsi" w:hAnsiTheme="minorHAnsi" w:cs="Arial"/>
          <w:bCs/>
          <w:noProof/>
        </w:rPr>
      </w:pP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t>Purpose of the proposal.</w:t>
      </w: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t>How will the funds be used? To sustain or increase enrollment (not supplanting existing funds)?</w:t>
      </w: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t>Is the funding one time (for this biennium) or will additional funding be needed in the future?</w:t>
      </w: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lastRenderedPageBreak/>
        <w:t>If future funding is needed, how will those resources be obtained?  Is the activity sustainable?</w:t>
      </w: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t>What is the proposal’s impact on the Community College three years from now? Five years from now?</w:t>
      </w:r>
    </w:p>
    <w:p w:rsidR="00193ACF" w:rsidRPr="00963CB6" w:rsidRDefault="00193ACF" w:rsidP="00193ACF">
      <w:pPr>
        <w:numPr>
          <w:ilvl w:val="0"/>
          <w:numId w:val="12"/>
        </w:numPr>
        <w:spacing w:line="276" w:lineRule="auto"/>
        <w:ind w:left="1080"/>
        <w:rPr>
          <w:rFonts w:asciiTheme="minorHAnsi" w:hAnsiTheme="minorHAnsi" w:cs="Arial"/>
          <w:bCs/>
          <w:noProof/>
        </w:rPr>
      </w:pPr>
      <w:r w:rsidRPr="00963CB6">
        <w:rPr>
          <w:rFonts w:asciiTheme="minorHAnsi" w:hAnsiTheme="minorHAnsi" w:cs="Arial"/>
          <w:bCs/>
          <w:noProof/>
        </w:rPr>
        <w:t>How will progress be measured?</w:t>
      </w:r>
    </w:p>
    <w:p w:rsidR="00193ACF" w:rsidRPr="00963CB6" w:rsidRDefault="00193ACF" w:rsidP="00193ACF">
      <w:pPr>
        <w:pStyle w:val="NormalWeb"/>
        <w:spacing w:before="0" w:beforeAutospacing="0" w:after="0" w:afterAutospacing="0"/>
        <w:ind w:left="720"/>
        <w:rPr>
          <w:rFonts w:asciiTheme="minorHAnsi" w:hAnsiTheme="minorHAnsi" w:cs="Arial"/>
          <w:bCs/>
          <w:noProof/>
        </w:rPr>
      </w:pPr>
    </w:p>
    <w:p w:rsidR="00E947C3" w:rsidRPr="00963CB6" w:rsidRDefault="00E947C3">
      <w:pPr>
        <w:rPr>
          <w:rFonts w:asciiTheme="minorHAnsi" w:hAnsiTheme="minorHAnsi"/>
        </w:rPr>
      </w:pPr>
    </w:p>
    <w:sectPr w:rsidR="00E947C3" w:rsidRPr="00963CB6" w:rsidSect="00963CB6">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53" w:rsidRDefault="00D85453">
      <w:r>
        <w:separator/>
      </w:r>
    </w:p>
  </w:endnote>
  <w:endnote w:type="continuationSeparator" w:id="0">
    <w:p w:rsidR="00D85453" w:rsidRDefault="00D8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CB" w:rsidRDefault="00B964CB"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4CB" w:rsidRDefault="00B964CB"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CB" w:rsidRDefault="00B964CB"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AC2">
      <w:rPr>
        <w:rStyle w:val="PageNumber"/>
        <w:noProof/>
      </w:rPr>
      <w:t>1</w:t>
    </w:r>
    <w:r>
      <w:rPr>
        <w:rStyle w:val="PageNumber"/>
      </w:rPr>
      <w:fldChar w:fldCharType="end"/>
    </w:r>
  </w:p>
  <w:p w:rsidR="00B964CB" w:rsidRPr="00D0690B" w:rsidRDefault="00B964CB"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53" w:rsidRDefault="00D85453">
      <w:r>
        <w:separator/>
      </w:r>
    </w:p>
  </w:footnote>
  <w:footnote w:type="continuationSeparator" w:id="0">
    <w:p w:rsidR="00D85453" w:rsidRDefault="00D8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771"/>
    <w:multiLevelType w:val="hybridMultilevel"/>
    <w:tmpl w:val="C44AE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918CB"/>
    <w:multiLevelType w:val="hybridMultilevel"/>
    <w:tmpl w:val="CB7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52163A"/>
    <w:multiLevelType w:val="hybridMultilevel"/>
    <w:tmpl w:val="16B8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11A"/>
    <w:multiLevelType w:val="hybridMultilevel"/>
    <w:tmpl w:val="F3801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0"/>
  </w:num>
  <w:num w:numId="5">
    <w:abstractNumId w:val="1"/>
  </w:num>
  <w:num w:numId="6">
    <w:abstractNumId w:val="6"/>
  </w:num>
  <w:num w:numId="7">
    <w:abstractNumId w:val="9"/>
  </w:num>
  <w:num w:numId="8">
    <w:abstractNumId w:val="3"/>
  </w:num>
  <w:num w:numId="9">
    <w:abstractNumId w:val="5"/>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215BF"/>
    <w:rsid w:val="000702B0"/>
    <w:rsid w:val="00077A1B"/>
    <w:rsid w:val="000A09EE"/>
    <w:rsid w:val="000B355F"/>
    <w:rsid w:val="000C0697"/>
    <w:rsid w:val="000F0957"/>
    <w:rsid w:val="001233D2"/>
    <w:rsid w:val="001378CD"/>
    <w:rsid w:val="00164E3E"/>
    <w:rsid w:val="00166BD5"/>
    <w:rsid w:val="00171E53"/>
    <w:rsid w:val="00193ACF"/>
    <w:rsid w:val="001A788D"/>
    <w:rsid w:val="001B747E"/>
    <w:rsid w:val="001D0F98"/>
    <w:rsid w:val="001E3BB4"/>
    <w:rsid w:val="00223E40"/>
    <w:rsid w:val="00227256"/>
    <w:rsid w:val="00237C43"/>
    <w:rsid w:val="00242EB1"/>
    <w:rsid w:val="00256D56"/>
    <w:rsid w:val="00257CE3"/>
    <w:rsid w:val="00274317"/>
    <w:rsid w:val="00277592"/>
    <w:rsid w:val="002C7D53"/>
    <w:rsid w:val="002D514D"/>
    <w:rsid w:val="002D6454"/>
    <w:rsid w:val="00322BEB"/>
    <w:rsid w:val="0033033A"/>
    <w:rsid w:val="00351234"/>
    <w:rsid w:val="0035303F"/>
    <w:rsid w:val="00364FF8"/>
    <w:rsid w:val="003935EB"/>
    <w:rsid w:val="00396503"/>
    <w:rsid w:val="003A5F77"/>
    <w:rsid w:val="003D414E"/>
    <w:rsid w:val="00405357"/>
    <w:rsid w:val="00413668"/>
    <w:rsid w:val="00440072"/>
    <w:rsid w:val="00440420"/>
    <w:rsid w:val="00450EF5"/>
    <w:rsid w:val="00483430"/>
    <w:rsid w:val="004845A9"/>
    <w:rsid w:val="004A1EF3"/>
    <w:rsid w:val="004A3E66"/>
    <w:rsid w:val="004B7C3E"/>
    <w:rsid w:val="004C24A0"/>
    <w:rsid w:val="004D7E2A"/>
    <w:rsid w:val="004E6C16"/>
    <w:rsid w:val="00556F89"/>
    <w:rsid w:val="005A334C"/>
    <w:rsid w:val="005A656C"/>
    <w:rsid w:val="005D1A25"/>
    <w:rsid w:val="005E5045"/>
    <w:rsid w:val="00621F1A"/>
    <w:rsid w:val="00632198"/>
    <w:rsid w:val="006521AA"/>
    <w:rsid w:val="00654359"/>
    <w:rsid w:val="00674C01"/>
    <w:rsid w:val="0067717A"/>
    <w:rsid w:val="00691FA0"/>
    <w:rsid w:val="006B633F"/>
    <w:rsid w:val="006C37F7"/>
    <w:rsid w:val="006D5A54"/>
    <w:rsid w:val="006E6FD8"/>
    <w:rsid w:val="00707F90"/>
    <w:rsid w:val="007248DE"/>
    <w:rsid w:val="00754D79"/>
    <w:rsid w:val="00761503"/>
    <w:rsid w:val="00794B9D"/>
    <w:rsid w:val="007B1A2C"/>
    <w:rsid w:val="007B48C8"/>
    <w:rsid w:val="007B6D99"/>
    <w:rsid w:val="007D423B"/>
    <w:rsid w:val="007F2FA0"/>
    <w:rsid w:val="00807F8C"/>
    <w:rsid w:val="00863B2B"/>
    <w:rsid w:val="00863C21"/>
    <w:rsid w:val="008841A2"/>
    <w:rsid w:val="008D034F"/>
    <w:rsid w:val="008D26E2"/>
    <w:rsid w:val="008E2278"/>
    <w:rsid w:val="008F4E36"/>
    <w:rsid w:val="00914204"/>
    <w:rsid w:val="00945792"/>
    <w:rsid w:val="00947754"/>
    <w:rsid w:val="00960FE9"/>
    <w:rsid w:val="00963CB6"/>
    <w:rsid w:val="00971A40"/>
    <w:rsid w:val="009732B4"/>
    <w:rsid w:val="009B76B0"/>
    <w:rsid w:val="009E467F"/>
    <w:rsid w:val="009F5101"/>
    <w:rsid w:val="009F6052"/>
    <w:rsid w:val="00A04BB1"/>
    <w:rsid w:val="00A07568"/>
    <w:rsid w:val="00A43D04"/>
    <w:rsid w:val="00A8497D"/>
    <w:rsid w:val="00A9161B"/>
    <w:rsid w:val="00A93384"/>
    <w:rsid w:val="00A95DF5"/>
    <w:rsid w:val="00AA3871"/>
    <w:rsid w:val="00AB3BEA"/>
    <w:rsid w:val="00AB5B5B"/>
    <w:rsid w:val="00AE1A9F"/>
    <w:rsid w:val="00AF26FA"/>
    <w:rsid w:val="00AF4BFD"/>
    <w:rsid w:val="00B03B19"/>
    <w:rsid w:val="00B23DF4"/>
    <w:rsid w:val="00B24EA1"/>
    <w:rsid w:val="00B329E0"/>
    <w:rsid w:val="00B753B0"/>
    <w:rsid w:val="00B911BA"/>
    <w:rsid w:val="00B964CB"/>
    <w:rsid w:val="00BA2F49"/>
    <w:rsid w:val="00BB471F"/>
    <w:rsid w:val="00BB5E0E"/>
    <w:rsid w:val="00BE21FD"/>
    <w:rsid w:val="00C049ED"/>
    <w:rsid w:val="00C3158F"/>
    <w:rsid w:val="00C415E0"/>
    <w:rsid w:val="00C41C99"/>
    <w:rsid w:val="00C7025B"/>
    <w:rsid w:val="00C934C8"/>
    <w:rsid w:val="00C94945"/>
    <w:rsid w:val="00CB5957"/>
    <w:rsid w:val="00CC00C4"/>
    <w:rsid w:val="00CC21FD"/>
    <w:rsid w:val="00CC3862"/>
    <w:rsid w:val="00CD01FA"/>
    <w:rsid w:val="00CE5CA3"/>
    <w:rsid w:val="00CE7478"/>
    <w:rsid w:val="00D207E5"/>
    <w:rsid w:val="00D25D51"/>
    <w:rsid w:val="00D404E1"/>
    <w:rsid w:val="00D64754"/>
    <w:rsid w:val="00D85453"/>
    <w:rsid w:val="00D90D51"/>
    <w:rsid w:val="00DE5C0F"/>
    <w:rsid w:val="00DE7B51"/>
    <w:rsid w:val="00DF6FD4"/>
    <w:rsid w:val="00E37199"/>
    <w:rsid w:val="00E60161"/>
    <w:rsid w:val="00E610C7"/>
    <w:rsid w:val="00E62820"/>
    <w:rsid w:val="00E93DDD"/>
    <w:rsid w:val="00E947C3"/>
    <w:rsid w:val="00EA3E9C"/>
    <w:rsid w:val="00ED08DE"/>
    <w:rsid w:val="00EF62C1"/>
    <w:rsid w:val="00F0678B"/>
    <w:rsid w:val="00F07909"/>
    <w:rsid w:val="00F229C2"/>
    <w:rsid w:val="00F410A9"/>
    <w:rsid w:val="00F4286A"/>
    <w:rsid w:val="00F42BF5"/>
    <w:rsid w:val="00F60DCE"/>
    <w:rsid w:val="00F61767"/>
    <w:rsid w:val="00F63AC2"/>
    <w:rsid w:val="00F847E3"/>
    <w:rsid w:val="00F855CF"/>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paragraph" w:styleId="NormalWeb">
    <w:name w:val="Normal (Web)"/>
    <w:basedOn w:val="Normal"/>
    <w:uiPriority w:val="99"/>
    <w:rsid w:val="00C049ED"/>
    <w:pPr>
      <w:spacing w:before="100" w:beforeAutospacing="1" w:after="100" w:afterAutospacing="1"/>
    </w:pPr>
    <w:rPr>
      <w:rFonts w:ascii="Times New Roman" w:hAnsi="Times New Roman"/>
    </w:rPr>
  </w:style>
  <w:style w:type="paragraph" w:styleId="BalloonText">
    <w:name w:val="Balloon Text"/>
    <w:basedOn w:val="Normal"/>
    <w:link w:val="BalloonTextChar"/>
    <w:rsid w:val="006E6FD8"/>
    <w:rPr>
      <w:rFonts w:ascii="Tahoma" w:hAnsi="Tahoma" w:cs="Tahoma"/>
      <w:sz w:val="16"/>
      <w:szCs w:val="16"/>
    </w:rPr>
  </w:style>
  <w:style w:type="character" w:customStyle="1" w:styleId="BalloonTextChar">
    <w:name w:val="Balloon Text Char"/>
    <w:basedOn w:val="DefaultParagraphFont"/>
    <w:link w:val="BalloonText"/>
    <w:rsid w:val="006E6FD8"/>
    <w:rPr>
      <w:rFonts w:ascii="Tahoma" w:hAnsi="Tahoma" w:cs="Tahoma"/>
      <w:sz w:val="16"/>
      <w:szCs w:val="16"/>
    </w:rPr>
  </w:style>
  <w:style w:type="paragraph" w:styleId="ListParagraph">
    <w:name w:val="List Paragraph"/>
    <w:basedOn w:val="Normal"/>
    <w:uiPriority w:val="34"/>
    <w:qFormat/>
    <w:rsid w:val="001D0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paragraph" w:styleId="NormalWeb">
    <w:name w:val="Normal (Web)"/>
    <w:basedOn w:val="Normal"/>
    <w:uiPriority w:val="99"/>
    <w:rsid w:val="00C049ED"/>
    <w:pPr>
      <w:spacing w:before="100" w:beforeAutospacing="1" w:after="100" w:afterAutospacing="1"/>
    </w:pPr>
    <w:rPr>
      <w:rFonts w:ascii="Times New Roman" w:hAnsi="Times New Roman"/>
    </w:rPr>
  </w:style>
  <w:style w:type="paragraph" w:styleId="BalloonText">
    <w:name w:val="Balloon Text"/>
    <w:basedOn w:val="Normal"/>
    <w:link w:val="BalloonTextChar"/>
    <w:rsid w:val="006E6FD8"/>
    <w:rPr>
      <w:rFonts w:ascii="Tahoma" w:hAnsi="Tahoma" w:cs="Tahoma"/>
      <w:sz w:val="16"/>
      <w:szCs w:val="16"/>
    </w:rPr>
  </w:style>
  <w:style w:type="character" w:customStyle="1" w:styleId="BalloonTextChar">
    <w:name w:val="Balloon Text Char"/>
    <w:basedOn w:val="DefaultParagraphFont"/>
    <w:link w:val="BalloonText"/>
    <w:rsid w:val="006E6FD8"/>
    <w:rPr>
      <w:rFonts w:ascii="Tahoma" w:hAnsi="Tahoma" w:cs="Tahoma"/>
      <w:sz w:val="16"/>
      <w:szCs w:val="16"/>
    </w:rPr>
  </w:style>
  <w:style w:type="paragraph" w:styleId="ListParagraph">
    <w:name w:val="List Paragraph"/>
    <w:basedOn w:val="Normal"/>
    <w:uiPriority w:val="34"/>
    <w:qFormat/>
    <w:rsid w:val="001D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344">
      <w:bodyDiv w:val="1"/>
      <w:marLeft w:val="0"/>
      <w:marRight w:val="0"/>
      <w:marTop w:val="0"/>
      <w:marBottom w:val="0"/>
      <w:divBdr>
        <w:top w:val="none" w:sz="0" w:space="0" w:color="auto"/>
        <w:left w:val="none" w:sz="0" w:space="0" w:color="auto"/>
        <w:bottom w:val="none" w:sz="0" w:space="0" w:color="auto"/>
        <w:right w:val="none" w:sz="0" w:space="0" w:color="auto"/>
      </w:divBdr>
    </w:div>
    <w:div w:id="780420463">
      <w:bodyDiv w:val="1"/>
      <w:marLeft w:val="0"/>
      <w:marRight w:val="0"/>
      <w:marTop w:val="0"/>
      <w:marBottom w:val="0"/>
      <w:divBdr>
        <w:top w:val="none" w:sz="0" w:space="0" w:color="auto"/>
        <w:left w:val="none" w:sz="0" w:space="0" w:color="auto"/>
        <w:bottom w:val="none" w:sz="0" w:space="0" w:color="auto"/>
        <w:right w:val="none" w:sz="0" w:space="0" w:color="auto"/>
      </w:divBdr>
    </w:div>
    <w:div w:id="1676108132">
      <w:bodyDiv w:val="1"/>
      <w:marLeft w:val="0"/>
      <w:marRight w:val="0"/>
      <w:marTop w:val="0"/>
      <w:marBottom w:val="0"/>
      <w:divBdr>
        <w:top w:val="none" w:sz="0" w:space="0" w:color="auto"/>
        <w:left w:val="none" w:sz="0" w:space="0" w:color="auto"/>
        <w:bottom w:val="none" w:sz="0" w:space="0" w:color="auto"/>
        <w:right w:val="none" w:sz="0" w:space="0" w:color="auto"/>
      </w:divBdr>
    </w:div>
    <w:div w:id="2008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2020-07-18T14:32:15+00:00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2B7FE-442C-4D9F-A31A-69504EEF2829}"/>
</file>

<file path=customXml/itemProps2.xml><?xml version="1.0" encoding="utf-8"?>
<ds:datastoreItem xmlns:ds="http://schemas.openxmlformats.org/officeDocument/2006/customXml" ds:itemID="{B2C2DFE0-9278-4CEC-8B8A-AE8C974C3C41}"/>
</file>

<file path=customXml/itemProps3.xml><?xml version="1.0" encoding="utf-8"?>
<ds:datastoreItem xmlns:ds="http://schemas.openxmlformats.org/officeDocument/2006/customXml" ds:itemID="{3265BEC0-2EBD-43BC-B35C-E12046E51DE8}"/>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3</cp:revision>
  <cp:lastPrinted>2014-04-02T16:24:00Z</cp:lastPrinted>
  <dcterms:created xsi:type="dcterms:W3CDTF">2014-04-02T16:25:00Z</dcterms:created>
  <dcterms:modified xsi:type="dcterms:W3CDTF">2014-04-02T16:26:00Z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