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36"/>
        <w:rPr>
          <w:rFonts w:ascii="Times New Roman"/>
          <w:sz w:val="28"/>
        </w:rPr>
      </w:pPr>
    </w:p>
    <w:p>
      <w:pPr>
        <w:spacing w:before="0"/>
        <w:ind w:left="7211" w:right="0" w:firstLine="0"/>
        <w:jc w:val="lef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114300</wp:posOffset>
            </wp:positionH>
            <wp:positionV relativeFrom="paragraph">
              <wp:posOffset>-564835</wp:posOffset>
            </wp:positionV>
            <wp:extent cx="1828011" cy="144398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11" cy="144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6A956C"/>
          <w:sz w:val="28"/>
        </w:rPr>
        <w:t>Oregon</w:t>
      </w:r>
      <w:r>
        <w:rPr>
          <w:rFonts w:ascii="Tahoma"/>
          <w:b/>
          <w:color w:val="6A956C"/>
          <w:spacing w:val="-18"/>
          <w:sz w:val="28"/>
        </w:rPr>
        <w:t> </w:t>
      </w:r>
      <w:r>
        <w:rPr>
          <w:rFonts w:ascii="Tahoma"/>
          <w:b/>
          <w:color w:val="6A956C"/>
          <w:sz w:val="28"/>
        </w:rPr>
        <w:t>Adult</w:t>
      </w:r>
      <w:r>
        <w:rPr>
          <w:rFonts w:ascii="Tahoma"/>
          <w:b/>
          <w:color w:val="6A956C"/>
          <w:spacing w:val="-16"/>
          <w:sz w:val="28"/>
        </w:rPr>
        <w:t> </w:t>
      </w:r>
      <w:r>
        <w:rPr>
          <w:rFonts w:ascii="Tahoma"/>
          <w:b/>
          <w:color w:val="6A956C"/>
          <w:sz w:val="28"/>
        </w:rPr>
        <w:t>Basic</w:t>
      </w:r>
      <w:r>
        <w:rPr>
          <w:rFonts w:ascii="Tahoma"/>
          <w:b/>
          <w:color w:val="6A956C"/>
          <w:spacing w:val="-15"/>
          <w:sz w:val="28"/>
        </w:rPr>
        <w:t> </w:t>
      </w:r>
      <w:r>
        <w:rPr>
          <w:rFonts w:ascii="Tahoma"/>
          <w:b/>
          <w:color w:val="6A956C"/>
          <w:spacing w:val="-2"/>
          <w:sz w:val="28"/>
        </w:rPr>
        <w:t>Skills</w:t>
      </w:r>
    </w:p>
    <w:p>
      <w:pPr>
        <w:spacing w:line="276" w:lineRule="auto" w:before="51"/>
        <w:ind w:left="4796" w:right="0" w:firstLine="4034"/>
        <w:jc w:val="left"/>
        <w:rPr>
          <w:rFonts w:ascii="Tahoma"/>
          <w:b/>
          <w:sz w:val="28"/>
        </w:rPr>
      </w:pPr>
      <w:r>
        <w:rPr>
          <w:rFonts w:ascii="Tahoma"/>
          <w:b/>
          <w:color w:val="6A956C"/>
          <w:spacing w:val="-2"/>
          <w:sz w:val="28"/>
        </w:rPr>
        <w:t>WIOA</w:t>
      </w:r>
      <w:r>
        <w:rPr>
          <w:rFonts w:ascii="Tahoma"/>
          <w:b/>
          <w:color w:val="6A956C"/>
          <w:spacing w:val="-22"/>
          <w:sz w:val="28"/>
        </w:rPr>
        <w:t> </w:t>
      </w:r>
      <w:r>
        <w:rPr>
          <w:rFonts w:ascii="Tahoma"/>
          <w:b/>
          <w:color w:val="6A956C"/>
          <w:spacing w:val="-2"/>
          <w:sz w:val="28"/>
        </w:rPr>
        <w:t>Title</w:t>
      </w:r>
      <w:r>
        <w:rPr>
          <w:rFonts w:ascii="Tahoma"/>
          <w:b/>
          <w:color w:val="6A956C"/>
          <w:spacing w:val="-21"/>
          <w:sz w:val="28"/>
        </w:rPr>
        <w:t> </w:t>
      </w:r>
      <w:r>
        <w:rPr>
          <w:rFonts w:ascii="Tahoma"/>
          <w:b/>
          <w:color w:val="6A956C"/>
          <w:spacing w:val="-2"/>
          <w:sz w:val="28"/>
        </w:rPr>
        <w:t>II </w:t>
      </w:r>
      <w:r>
        <w:rPr>
          <w:rFonts w:ascii="Tahoma"/>
          <w:b/>
          <w:color w:val="6A956C"/>
          <w:sz w:val="28"/>
        </w:rPr>
        <w:t>Adult</w:t>
      </w:r>
      <w:r>
        <w:rPr>
          <w:rFonts w:ascii="Tahoma"/>
          <w:b/>
          <w:color w:val="6A956C"/>
          <w:spacing w:val="-20"/>
          <w:sz w:val="28"/>
        </w:rPr>
        <w:t> </w:t>
      </w:r>
      <w:r>
        <w:rPr>
          <w:rFonts w:ascii="Tahoma"/>
          <w:b/>
          <w:color w:val="6A956C"/>
          <w:sz w:val="28"/>
        </w:rPr>
        <w:t>Education</w:t>
      </w:r>
      <w:r>
        <w:rPr>
          <w:rFonts w:ascii="Tahoma"/>
          <w:b/>
          <w:color w:val="6A956C"/>
          <w:spacing w:val="-17"/>
          <w:sz w:val="28"/>
        </w:rPr>
        <w:t> </w:t>
      </w:r>
      <w:r>
        <w:rPr>
          <w:rFonts w:ascii="Tahoma"/>
          <w:b/>
          <w:color w:val="6A956C"/>
          <w:sz w:val="28"/>
        </w:rPr>
        <w:t>and</w:t>
      </w:r>
      <w:r>
        <w:rPr>
          <w:rFonts w:ascii="Tahoma"/>
          <w:b/>
          <w:color w:val="6A956C"/>
          <w:spacing w:val="-16"/>
          <w:sz w:val="28"/>
        </w:rPr>
        <w:t> </w:t>
      </w:r>
      <w:r>
        <w:rPr>
          <w:rFonts w:ascii="Tahoma"/>
          <w:b/>
          <w:color w:val="6A956C"/>
          <w:sz w:val="28"/>
        </w:rPr>
        <w:t>Family</w:t>
      </w:r>
      <w:r>
        <w:rPr>
          <w:rFonts w:ascii="Tahoma"/>
          <w:b/>
          <w:color w:val="6A956C"/>
          <w:spacing w:val="-18"/>
          <w:sz w:val="28"/>
        </w:rPr>
        <w:t> </w:t>
      </w:r>
      <w:r>
        <w:rPr>
          <w:rFonts w:ascii="Tahoma"/>
          <w:b/>
          <w:color w:val="6A956C"/>
          <w:sz w:val="28"/>
        </w:rPr>
        <w:t>Literacy</w:t>
      </w:r>
      <w:r>
        <w:rPr>
          <w:rFonts w:ascii="Tahoma"/>
          <w:b/>
          <w:color w:val="6A956C"/>
          <w:spacing w:val="-17"/>
          <w:sz w:val="28"/>
        </w:rPr>
        <w:t> </w:t>
      </w:r>
      <w:r>
        <w:rPr>
          <w:rFonts w:ascii="Tahoma"/>
          <w:b/>
          <w:color w:val="6A956C"/>
          <w:spacing w:val="-2"/>
          <w:sz w:val="28"/>
        </w:rPr>
        <w:t>Grant</w:t>
      </w:r>
    </w:p>
    <w:p>
      <w:pPr>
        <w:pStyle w:val="BodyText"/>
        <w:spacing w:before="49"/>
        <w:rPr>
          <w:rFonts w:ascii="Tahoma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2105661</wp:posOffset>
                </wp:positionH>
                <wp:positionV relativeFrom="paragraph">
                  <wp:posOffset>199698</wp:posOffset>
                </wp:positionV>
                <wp:extent cx="475234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752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2340" h="0">
                              <a:moveTo>
                                <a:pt x="0" y="0"/>
                              </a:moveTo>
                              <a:lnTo>
                                <a:pt x="4752149" y="0"/>
                              </a:lnTo>
                            </a:path>
                          </a:pathLst>
                        </a:custGeom>
                        <a:ln w="17399">
                          <a:solidFill>
                            <a:srgbClr val="6994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00095pt;margin-top:15.724291pt;width:374.2pt;height:.1pt;mso-position-horizontal-relative:page;mso-position-vertical-relative:paragraph;z-index:-15728640;mso-wrap-distance-left:0;mso-wrap-distance-right:0" id="docshape1" coordorigin="3316,314" coordsize="7484,0" path="m3316,314l10800,314e" filled="false" stroked="true" strokeweight="1.37pt" strokecolor="#69946b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9"/>
        <w:ind w:left="1360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color w:val="6A956C"/>
          <w:spacing w:val="-2"/>
          <w:sz w:val="28"/>
        </w:rPr>
        <w:t>OACCRS/OAELPS</w:t>
      </w:r>
      <w:r>
        <w:rPr>
          <w:rFonts w:ascii="Tahoma"/>
          <w:b/>
          <w:color w:val="6A956C"/>
          <w:spacing w:val="-10"/>
          <w:sz w:val="28"/>
        </w:rPr>
        <w:t> </w:t>
      </w:r>
      <w:r>
        <w:rPr>
          <w:rFonts w:ascii="Tahoma"/>
          <w:b/>
          <w:color w:val="6A956C"/>
          <w:spacing w:val="-2"/>
          <w:sz w:val="28"/>
        </w:rPr>
        <w:t>Local</w:t>
      </w:r>
      <w:r>
        <w:rPr>
          <w:rFonts w:ascii="Tahoma"/>
          <w:b/>
          <w:color w:val="6A956C"/>
          <w:spacing w:val="-8"/>
          <w:sz w:val="28"/>
        </w:rPr>
        <w:t> </w:t>
      </w:r>
      <w:r>
        <w:rPr>
          <w:rFonts w:ascii="Tahoma"/>
          <w:b/>
          <w:color w:val="6A956C"/>
          <w:spacing w:val="-2"/>
          <w:sz w:val="28"/>
        </w:rPr>
        <w:t>Lead</w:t>
      </w:r>
      <w:r>
        <w:rPr>
          <w:rFonts w:ascii="Tahoma"/>
          <w:b/>
          <w:color w:val="6A956C"/>
          <w:spacing w:val="-6"/>
          <w:sz w:val="28"/>
        </w:rPr>
        <w:t> </w:t>
      </w:r>
      <w:r>
        <w:rPr>
          <w:rFonts w:ascii="Tahoma"/>
          <w:b/>
          <w:color w:val="6A956C"/>
          <w:spacing w:val="-2"/>
          <w:sz w:val="28"/>
        </w:rPr>
        <w:t>Duties</w:t>
      </w: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48" w:after="0"/>
        <w:ind w:left="2077" w:right="0" w:hanging="357"/>
        <w:jc w:val="left"/>
        <w:rPr>
          <w:sz w:val="22"/>
        </w:rPr>
      </w:pPr>
      <w:r>
        <w:rPr>
          <w:spacing w:val="-2"/>
          <w:sz w:val="22"/>
        </w:rPr>
        <w:t>Attend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OACCRS/OAELPS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1"/>
          <w:numId w:val="1"/>
        </w:numPr>
        <w:tabs>
          <w:tab w:pos="2796" w:val="left" w:leader="none"/>
        </w:tabs>
        <w:spacing w:line="228" w:lineRule="auto" w:before="29" w:after="0"/>
        <w:ind w:left="2796" w:right="586" w:hanging="360"/>
        <w:jc w:val="left"/>
        <w:rPr>
          <w:sz w:val="22"/>
        </w:rPr>
      </w:pPr>
      <w:r>
        <w:rPr>
          <w:sz w:val="22"/>
        </w:rPr>
        <w:t>Note: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ABS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9"/>
          <w:sz w:val="22"/>
        </w:rPr>
        <w:t> </w:t>
      </w:r>
      <w:r>
        <w:rPr>
          <w:sz w:val="22"/>
        </w:rPr>
        <w:t>includes</w:t>
      </w:r>
      <w:r>
        <w:rPr>
          <w:spacing w:val="-7"/>
          <w:sz w:val="22"/>
        </w:rPr>
        <w:t> </w:t>
      </w:r>
      <w:r>
        <w:rPr>
          <w:sz w:val="22"/>
        </w:rPr>
        <w:t>ESL,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recommended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attend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new OACCRS/OAELPS Orientation to learn about OAELPS</w:t>
      </w:r>
    </w:p>
    <w:p>
      <w:pPr>
        <w:pStyle w:val="BodyText"/>
        <w:spacing w:before="38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0" w:after="0"/>
        <w:ind w:left="2077" w:right="0" w:hanging="357"/>
        <w:jc w:val="left"/>
        <w:rPr>
          <w:sz w:val="22"/>
        </w:rPr>
      </w:pP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program</w:t>
      </w:r>
      <w:r>
        <w:rPr>
          <w:spacing w:val="-11"/>
          <w:sz w:val="22"/>
        </w:rPr>
        <w:t> </w:t>
      </w:r>
      <w:r>
        <w:rPr>
          <w:sz w:val="22"/>
        </w:rPr>
        <w:t>contact</w:t>
      </w:r>
      <w:r>
        <w:rPr>
          <w:spacing w:val="-9"/>
          <w:sz w:val="22"/>
        </w:rPr>
        <w:t> </w:t>
      </w:r>
      <w:r>
        <w:rPr>
          <w:sz w:val="22"/>
        </w:rPr>
        <w:t>person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matters</w:t>
      </w:r>
      <w:r>
        <w:rPr>
          <w:spacing w:val="-11"/>
          <w:sz w:val="22"/>
        </w:rPr>
        <w:t> </w:t>
      </w:r>
      <w:r>
        <w:rPr>
          <w:sz w:val="22"/>
        </w:rPr>
        <w:t>relating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OACCRS/OAELPS</w:t>
      </w:r>
    </w:p>
    <w:p>
      <w:pPr>
        <w:pStyle w:val="BodyText"/>
        <w:spacing w:before="18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7" w:val="left" w:leader="none"/>
        </w:tabs>
        <w:spacing w:line="254" w:lineRule="auto" w:before="0" w:after="0"/>
        <w:ind w:left="2074" w:right="1903" w:hanging="358"/>
        <w:jc w:val="left"/>
        <w:rPr>
          <w:sz w:val="22"/>
        </w:rPr>
      </w:pPr>
      <w:r>
        <w:rPr>
          <w:sz w:val="22"/>
        </w:rPr>
        <w:tab/>
        <w:t>Assist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necessary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scheduling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registration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faculty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staff</w:t>
      </w:r>
      <w:r>
        <w:rPr>
          <w:spacing w:val="-7"/>
          <w:sz w:val="22"/>
        </w:rPr>
        <w:t> </w:t>
      </w:r>
      <w:r>
        <w:rPr>
          <w:sz w:val="22"/>
        </w:rPr>
        <w:t>for OACCRS/OAELPS and Best Plus trainings</w:t>
      </w:r>
    </w:p>
    <w:p>
      <w:pPr>
        <w:pStyle w:val="BodyText"/>
        <w:spacing w:before="23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7" w:val="left" w:leader="none"/>
        </w:tabs>
        <w:spacing w:line="256" w:lineRule="auto" w:before="1" w:after="0"/>
        <w:ind w:left="2074" w:right="1401" w:hanging="357"/>
        <w:jc w:val="left"/>
        <w:rPr>
          <w:sz w:val="22"/>
        </w:rPr>
      </w:pPr>
      <w:r>
        <w:rPr>
          <w:sz w:val="22"/>
        </w:rPr>
        <w:tab/>
        <w:t>Be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contact</w:t>
      </w:r>
      <w:r>
        <w:rPr>
          <w:spacing w:val="-7"/>
          <w:sz w:val="22"/>
        </w:rPr>
        <w:t> </w:t>
      </w:r>
      <w:r>
        <w:rPr>
          <w:sz w:val="22"/>
        </w:rPr>
        <w:t>person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matters</w:t>
      </w:r>
      <w:r>
        <w:rPr>
          <w:spacing w:val="-10"/>
          <w:sz w:val="22"/>
        </w:rPr>
        <w:t> </w:t>
      </w:r>
      <w:r>
        <w:rPr>
          <w:sz w:val="22"/>
        </w:rPr>
        <w:t>relating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PLCs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outcomes</w:t>
      </w:r>
      <w:r>
        <w:rPr>
          <w:spacing w:val="-8"/>
          <w:sz w:val="22"/>
        </w:rPr>
        <w:t> </w:t>
      </w:r>
      <w:r>
        <w:rPr>
          <w:sz w:val="22"/>
        </w:rPr>
        <w:t>related</w:t>
      </w:r>
      <w:r>
        <w:rPr>
          <w:spacing w:val="-8"/>
          <w:sz w:val="22"/>
        </w:rPr>
        <w:t> </w:t>
      </w:r>
      <w:r>
        <w:rPr>
          <w:sz w:val="22"/>
        </w:rPr>
        <w:t>to </w:t>
      </w:r>
      <w:r>
        <w:rPr>
          <w:spacing w:val="-2"/>
          <w:sz w:val="22"/>
        </w:rPr>
        <w:t>OACCRS/OAELPS</w:t>
      </w: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252" w:after="0"/>
        <w:ind w:left="2077" w:right="0" w:hanging="357"/>
        <w:jc w:val="left"/>
        <w:rPr>
          <w:sz w:val="22"/>
        </w:rPr>
      </w:pPr>
      <w:r>
        <w:rPr>
          <w:spacing w:val="-2"/>
          <w:sz w:val="22"/>
        </w:rPr>
        <w:t>Organize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PLC sessions,</w:t>
      </w:r>
      <w:r>
        <w:rPr>
          <w:sz w:val="22"/>
        </w:rPr>
        <w:t> </w:t>
      </w:r>
      <w:r>
        <w:rPr>
          <w:spacing w:val="-2"/>
          <w:sz w:val="22"/>
        </w:rPr>
        <w:t>coordinate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trainers,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communicate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with</w:t>
      </w:r>
      <w:r>
        <w:rPr>
          <w:sz w:val="22"/>
        </w:rPr>
        <w:t> </w:t>
      </w:r>
      <w:r>
        <w:rPr>
          <w:spacing w:val="-2"/>
          <w:sz w:val="22"/>
        </w:rPr>
        <w:t>participants</w:t>
      </w:r>
    </w:p>
    <w:p>
      <w:pPr>
        <w:pStyle w:val="BodyText"/>
        <w:spacing w:before="19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1" w:after="0"/>
        <w:ind w:left="2077" w:right="0" w:hanging="357"/>
        <w:jc w:val="left"/>
        <w:rPr>
          <w:sz w:val="22"/>
        </w:rPr>
      </w:pPr>
      <w:r>
        <w:rPr>
          <w:sz w:val="22"/>
        </w:rPr>
        <w:t>Produce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brief</w:t>
      </w:r>
      <w:r>
        <w:rPr>
          <w:spacing w:val="-10"/>
          <w:sz w:val="22"/>
        </w:rPr>
        <w:t> </w:t>
      </w:r>
      <w:r>
        <w:rPr>
          <w:sz w:val="22"/>
        </w:rPr>
        <w:t>annual</w:t>
      </w:r>
      <w:r>
        <w:rPr>
          <w:spacing w:val="-7"/>
          <w:sz w:val="22"/>
        </w:rPr>
        <w:t> </w:t>
      </w:r>
      <w:r>
        <w:rPr>
          <w:sz w:val="22"/>
        </w:rPr>
        <w:t>written</w:t>
      </w:r>
      <w:r>
        <w:rPr>
          <w:spacing w:val="-11"/>
          <w:sz w:val="22"/>
        </w:rPr>
        <w:t> </w:t>
      </w:r>
      <w:r>
        <w:rPr>
          <w:sz w:val="22"/>
        </w:rPr>
        <w:t>report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PLCs</w:t>
      </w:r>
    </w:p>
    <w:p>
      <w:pPr>
        <w:pStyle w:val="ListParagraph"/>
        <w:numPr>
          <w:ilvl w:val="1"/>
          <w:numId w:val="1"/>
        </w:numPr>
        <w:tabs>
          <w:tab w:pos="2792" w:val="left" w:leader="none"/>
        </w:tabs>
        <w:spacing w:line="228" w:lineRule="auto" w:before="29" w:after="0"/>
        <w:ind w:left="2792" w:right="997" w:hanging="360"/>
        <w:jc w:val="left"/>
        <w:rPr>
          <w:sz w:val="22"/>
        </w:rPr>
      </w:pPr>
      <w:r>
        <w:rPr>
          <w:sz w:val="22"/>
        </w:rPr>
        <w:t>PLC</w:t>
      </w:r>
      <w:r>
        <w:rPr>
          <w:spacing w:val="-8"/>
          <w:sz w:val="22"/>
        </w:rPr>
        <w:t> </w:t>
      </w:r>
      <w:r>
        <w:rPr>
          <w:sz w:val="22"/>
        </w:rPr>
        <w:t>outcomes,</w:t>
      </w:r>
      <w:r>
        <w:rPr>
          <w:spacing w:val="-7"/>
          <w:sz w:val="22"/>
        </w:rPr>
        <w:t> </w:t>
      </w:r>
      <w:r>
        <w:rPr>
          <w:sz w:val="22"/>
        </w:rPr>
        <w:t>attendance,</w:t>
      </w:r>
      <w:r>
        <w:rPr>
          <w:spacing w:val="-10"/>
          <w:sz w:val="22"/>
        </w:rPr>
        <w:t> </w:t>
      </w:r>
      <w:r>
        <w:rPr>
          <w:sz w:val="22"/>
        </w:rPr>
        <w:t>dates,</w:t>
      </w:r>
      <w:r>
        <w:rPr>
          <w:spacing w:val="-7"/>
          <w:sz w:val="22"/>
        </w:rPr>
        <w:t> </w:t>
      </w:r>
      <w:r>
        <w:rPr>
          <w:sz w:val="22"/>
        </w:rPr>
        <w:t>locations</w:t>
      </w:r>
      <w:r>
        <w:rPr>
          <w:spacing w:val="-7"/>
          <w:sz w:val="22"/>
        </w:rPr>
        <w:t> </w:t>
      </w:r>
      <w:r>
        <w:rPr>
          <w:sz w:val="22"/>
        </w:rPr>
        <w:t>etc.</w:t>
      </w:r>
      <w:r>
        <w:rPr>
          <w:spacing w:val="-10"/>
          <w:sz w:val="22"/>
        </w:rPr>
        <w:t> </w:t>
      </w:r>
      <w:r>
        <w:rPr>
          <w:sz w:val="22"/>
        </w:rPr>
        <w:t>should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maintained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file</w:t>
      </w:r>
      <w:r>
        <w:rPr>
          <w:spacing w:val="-9"/>
          <w:sz w:val="22"/>
        </w:rPr>
        <w:t> </w:t>
      </w:r>
      <w:r>
        <w:rPr>
          <w:sz w:val="22"/>
        </w:rPr>
        <w:t>and produced upon request by the State ABS Team</w:t>
      </w:r>
    </w:p>
    <w:p>
      <w:pPr>
        <w:pStyle w:val="BodyText"/>
        <w:spacing w:before="17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077" w:val="left" w:leader="none"/>
        </w:tabs>
        <w:spacing w:line="240" w:lineRule="auto" w:before="0" w:after="0"/>
        <w:ind w:left="2077" w:right="0" w:hanging="357"/>
        <w:jc w:val="left"/>
        <w:rPr>
          <w:sz w:val="22"/>
        </w:rPr>
      </w:pPr>
      <w:r>
        <w:rPr>
          <w:spacing w:val="-2"/>
          <w:sz w:val="22"/>
        </w:rPr>
        <w:t>Attend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required</w:t>
      </w:r>
      <w:r>
        <w:rPr>
          <w:sz w:val="22"/>
        </w:rPr>
        <w:t> </w:t>
      </w:r>
      <w:r>
        <w:rPr>
          <w:spacing w:val="-2"/>
          <w:sz w:val="22"/>
        </w:rPr>
        <w:t>Local Leads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meetings,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if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any</w:t>
      </w:r>
    </w:p>
    <w:p>
      <w:pPr>
        <w:pStyle w:val="ListParagraph"/>
        <w:numPr>
          <w:ilvl w:val="1"/>
          <w:numId w:val="1"/>
        </w:numPr>
        <w:tabs>
          <w:tab w:pos="2789" w:val="left" w:leader="none"/>
        </w:tabs>
        <w:spacing w:line="223" w:lineRule="auto" w:before="33" w:after="0"/>
        <w:ind w:left="2789" w:right="489" w:hanging="357"/>
        <w:jc w:val="left"/>
        <w:rPr>
          <w:sz w:val="22"/>
        </w:rPr>
      </w:pPr>
      <w:r>
        <w:rPr>
          <w:sz w:val="22"/>
        </w:rPr>
        <w:t>Note:</w:t>
      </w:r>
      <w:r>
        <w:rPr>
          <w:spacing w:val="-6"/>
          <w:sz w:val="22"/>
        </w:rPr>
        <w:t> </w:t>
      </w:r>
      <w:r>
        <w:rPr>
          <w:sz w:val="22"/>
        </w:rPr>
        <w:t>Optional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Lead</w:t>
      </w:r>
      <w:r>
        <w:rPr>
          <w:spacing w:val="-7"/>
          <w:sz w:val="22"/>
        </w:rPr>
        <w:t> </w:t>
      </w:r>
      <w:r>
        <w:rPr>
          <w:sz w:val="22"/>
        </w:rPr>
        <w:t>meetings</w:t>
      </w:r>
      <w:r>
        <w:rPr>
          <w:spacing w:val="-7"/>
          <w:sz w:val="22"/>
        </w:rPr>
        <w:t> </w:t>
      </w:r>
      <w:r>
        <w:rPr>
          <w:sz w:val="22"/>
        </w:rPr>
        <w:t>hosted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State</w:t>
      </w:r>
      <w:r>
        <w:rPr>
          <w:spacing w:val="-7"/>
          <w:sz w:val="22"/>
        </w:rPr>
        <w:t> </w:t>
      </w:r>
      <w:r>
        <w:rPr>
          <w:sz w:val="22"/>
        </w:rPr>
        <w:t>ABS</w:t>
      </w:r>
      <w:r>
        <w:rPr>
          <w:spacing w:val="-7"/>
          <w:sz w:val="22"/>
        </w:rPr>
        <w:t> </w:t>
      </w:r>
      <w:r>
        <w:rPr>
          <w:sz w:val="22"/>
        </w:rPr>
        <w:t>Team</w:t>
      </w:r>
      <w:r>
        <w:rPr>
          <w:spacing w:val="-6"/>
          <w:sz w:val="22"/>
        </w:rPr>
        <w:t> </w:t>
      </w:r>
      <w:r>
        <w:rPr>
          <w:sz w:val="22"/>
        </w:rPr>
        <w:t>via</w:t>
      </w:r>
      <w:r>
        <w:rPr>
          <w:spacing w:val="-7"/>
          <w:sz w:val="22"/>
        </w:rPr>
        <w:t> </w:t>
      </w:r>
      <w:r>
        <w:rPr>
          <w:sz w:val="22"/>
        </w:rPr>
        <w:t>Zoom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2"/>
          <w:sz w:val="22"/>
        </w:rPr>
        <w:t> </w:t>
      </w:r>
      <w:r>
        <w:rPr>
          <w:sz w:val="22"/>
        </w:rPr>
        <w:t>held regularly to discuss learning standards practices across the state</w:t>
      </w:r>
    </w:p>
    <w:p>
      <w:pPr>
        <w:pStyle w:val="BodyText"/>
        <w:spacing w:before="38"/>
        <w:rPr>
          <w:rFonts w:ascii="Times New Roman"/>
        </w:rPr>
      </w:pPr>
    </w:p>
    <w:p>
      <w:pPr>
        <w:spacing w:before="0"/>
        <w:ind w:left="1380" w:right="0" w:firstLine="0"/>
        <w:jc w:val="left"/>
        <w:rPr>
          <w:b/>
          <w:sz w:val="22"/>
        </w:rPr>
      </w:pPr>
      <w:r>
        <w:rPr>
          <w:b/>
          <w:sz w:val="22"/>
        </w:rPr>
        <w:t>Equity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Agreement</w:t>
      </w:r>
    </w:p>
    <w:p>
      <w:pPr>
        <w:pStyle w:val="BodyText"/>
        <w:spacing w:line="276" w:lineRule="auto" w:before="199"/>
        <w:ind w:left="1343" w:right="213" w:firstLine="5"/>
      </w:pPr>
      <w:r>
        <w:rPr/>
        <w:t>Oregon’s diversity is increasingly multifaceted, including racial/ethnic, socioeconomic, cultural, gender, geographic</w:t>
      </w:r>
      <w:r>
        <w:rPr>
          <w:spacing w:val="-2"/>
        </w:rPr>
        <w:t> </w:t>
      </w:r>
      <w:r>
        <w:rPr/>
        <w:t>(urban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rural),</w:t>
      </w:r>
      <w:r>
        <w:rPr>
          <w:spacing w:val="-2"/>
        </w:rPr>
        <w:t> </w:t>
      </w:r>
      <w:r>
        <w:rPr/>
        <w:t>gender</w:t>
      </w:r>
      <w:r>
        <w:rPr>
          <w:spacing w:val="-1"/>
        </w:rPr>
        <w:t> </w:t>
      </w:r>
      <w:r>
        <w:rPr/>
        <w:t>identity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sexual</w:t>
      </w:r>
      <w:r>
        <w:rPr>
          <w:spacing w:val="-4"/>
        </w:rPr>
        <w:t> </w:t>
      </w:r>
      <w:r>
        <w:rPr/>
        <w:t>orientation,</w:t>
      </w:r>
      <w:r>
        <w:rPr>
          <w:spacing w:val="-4"/>
        </w:rPr>
        <w:t> </w:t>
      </w:r>
      <w:r>
        <w:rPr/>
        <w:t>disability,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age/generational</w:t>
      </w:r>
      <w:r>
        <w:rPr>
          <w:spacing w:val="-2"/>
        </w:rPr>
        <w:t> </w:t>
      </w:r>
      <w:r>
        <w:rPr/>
        <w:t>diversity. In</w:t>
      </w:r>
      <w:r>
        <w:rPr>
          <w:spacing w:val="-4"/>
        </w:rPr>
        <w:t> </w:t>
      </w:r>
      <w:r>
        <w:rPr/>
        <w:t>administering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II</w:t>
      </w:r>
      <w:r>
        <w:rPr>
          <w:spacing w:val="-4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staff</w:t>
      </w:r>
      <w:r>
        <w:rPr>
          <w:spacing w:val="-1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discriminate</w:t>
      </w:r>
      <w:r>
        <w:rPr>
          <w:spacing w:val="-5"/>
        </w:rPr>
        <w:t> </w:t>
      </w:r>
      <w:r>
        <w:rPr/>
        <w:t>against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current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potential user of its services on the basis of race, color, ancestry, gender, national origin, age, family or marital status, sexual</w:t>
      </w:r>
      <w:r>
        <w:rPr>
          <w:spacing w:val="-2"/>
        </w:rPr>
        <w:t> </w:t>
      </w:r>
      <w:r>
        <w:rPr/>
        <w:t>orientation,</w:t>
      </w:r>
      <w:r>
        <w:rPr>
          <w:spacing w:val="-5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religious</w:t>
      </w:r>
      <w:r>
        <w:rPr>
          <w:spacing w:val="-4"/>
        </w:rPr>
        <w:t> </w:t>
      </w:r>
      <w:r>
        <w:rPr/>
        <w:t>affiliation,</w:t>
      </w:r>
      <w:r>
        <w:rPr>
          <w:spacing w:val="-2"/>
        </w:rPr>
        <w:t> </w:t>
      </w:r>
      <w:r>
        <w:rPr/>
        <w:t>veteran</w:t>
      </w:r>
      <w:r>
        <w:rPr>
          <w:spacing w:val="-7"/>
        </w:rPr>
        <w:t> </w:t>
      </w:r>
      <w:r>
        <w:rPr/>
        <w:t>status,</w:t>
      </w:r>
      <w:r>
        <w:rPr>
          <w:spacing w:val="-5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mental</w:t>
      </w:r>
      <w:r>
        <w:rPr>
          <w:spacing w:val="-2"/>
        </w:rPr>
        <w:t> </w:t>
      </w:r>
      <w:r>
        <w:rPr/>
        <w:t>disability.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agency</w:t>
      </w:r>
      <w:r>
        <w:rPr>
          <w:spacing w:val="-3"/>
        </w:rPr>
        <w:t> </w:t>
      </w:r>
      <w:r>
        <w:rPr/>
        <w:t>will not tolerate any form of discrimination or harassment and endeavors to maintain an inclusive and respectful work environment free of hostility or unprofessional behavior. As a HECC partner, we commit to a climate that empowers all to embrace a culture of diversity, equity, and inclusion as a valued asset in order to achieve equity-driven results.</w:t>
      </w:r>
    </w:p>
    <w:p>
      <w:pPr>
        <w:pStyle w:val="BodyText"/>
        <w:tabs>
          <w:tab w:pos="4455" w:val="left" w:leader="none"/>
        </w:tabs>
        <w:spacing w:before="160"/>
        <w:ind w:left="1360"/>
      </w:pPr>
      <w:r>
        <w:rPr/>
        <w:t>College: </w:t>
      </w:r>
      <w:r>
        <w:rPr>
          <w:u w:val="single"/>
        </w:rPr>
        <w:tab/>
      </w:r>
    </w:p>
    <w:p>
      <w:pPr>
        <w:pStyle w:val="BodyText"/>
        <w:tabs>
          <w:tab w:pos="3422" w:val="left" w:leader="none"/>
          <w:tab w:pos="3724" w:val="left" w:leader="none"/>
          <w:tab w:pos="7756" w:val="left" w:leader="none"/>
        </w:tabs>
        <w:spacing w:before="199"/>
        <w:ind w:right="387"/>
        <w:jc w:val="center"/>
      </w:pPr>
      <w:r>
        <w:rPr/>
        <w:t>ABS</w:t>
      </w:r>
      <w:r>
        <w:rPr>
          <w:spacing w:val="-2"/>
        </w:rPr>
        <w:t> Director:</w:t>
      </w:r>
      <w:r>
        <w:rPr>
          <w:u w:val="single"/>
        </w:rPr>
        <w:tab/>
      </w:r>
      <w:r>
        <w:rPr>
          <w:u w:val="none"/>
        </w:rPr>
        <w:tab/>
        <w:t>Signature: </w:t>
      </w:r>
      <w:r>
        <w:rPr>
          <w:u w:val="single"/>
        </w:rPr>
        <w:tab/>
      </w:r>
    </w:p>
    <w:p>
      <w:pPr>
        <w:pStyle w:val="BodyText"/>
        <w:tabs>
          <w:tab w:pos="5389" w:val="left" w:leader="none"/>
          <w:tab w:pos="9495" w:val="left" w:leader="none"/>
          <w:tab w:pos="9558" w:val="left" w:leader="none"/>
        </w:tabs>
        <w:spacing w:line="432" w:lineRule="auto" w:before="196"/>
        <w:ind w:left="1357" w:right="1299"/>
      </w:pPr>
      <w:r>
        <w:rPr/>
        <w:t>Local Lead for PY24-25</w:t>
      </w:r>
      <w:r>
        <w:rPr>
          <w:spacing w:val="39"/>
        </w:rPr>
        <w:t> </w:t>
      </w:r>
      <w:r>
        <w:rPr>
          <w:rFonts w:ascii="Times New Roman"/>
          <w:u w:val="single"/>
        </w:rPr>
        <w:tab/>
      </w:r>
      <w:r>
        <w:rPr>
          <w:spacing w:val="-2"/>
          <w:u w:val="none"/>
        </w:rPr>
        <w:t>Signature:</w:t>
      </w:r>
      <w:r>
        <w:rPr>
          <w:u w:val="single"/>
        </w:rPr>
        <w:tab/>
      </w:r>
      <w:r>
        <w:rPr>
          <w:u w:val="none"/>
        </w:rPr>
        <w:t> Email address: </w:t>
      </w:r>
      <w:r>
        <w:rPr>
          <w:u w:val="single"/>
        </w:rPr>
        <w:tab/>
        <w:tab/>
        <w:tab/>
      </w:r>
      <w:r>
        <w:rPr>
          <w:u w:val="none"/>
        </w:rPr>
        <w:t> Please submit to </w:t>
      </w:r>
      <w:hyperlink r:id="rId6">
        <w:r>
          <w:rPr>
            <w:color w:val="0561C1"/>
            <w:u w:val="single" w:color="0561C1"/>
          </w:rPr>
          <w:t>hecc.absteam@hecc.oregon.gov</w:t>
        </w:r>
      </w:hyperlink>
      <w:r>
        <w:rPr>
          <w:color w:val="0561C1"/>
          <w:u w:val="none"/>
        </w:rPr>
        <w:t> </w:t>
      </w:r>
      <w:r>
        <w:rPr>
          <w:u w:val="none"/>
        </w:rPr>
        <w:t>by October 14, 2024</w:t>
      </w:r>
    </w:p>
    <w:p>
      <w:pPr>
        <w:pStyle w:val="BodyText"/>
        <w:spacing w:before="19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895350</wp:posOffset>
                </wp:positionH>
                <wp:positionV relativeFrom="paragraph">
                  <wp:posOffset>282922</wp:posOffset>
                </wp:positionV>
                <wp:extent cx="5982335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823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6350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6121"/>
                              </a:lnTo>
                              <a:lnTo>
                                <a:pt x="5981712" y="6121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22.277332pt;width:471.001pt;height:.482pt;mso-position-horizontal-relative:page;mso-position-vertical-relative:paragraph;z-index:-15728128;mso-wrap-distance-left:0;mso-wrap-distance-right:0" id="docshape2" filled="true" fillcolor="#d9d9d9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8"/>
        <w:ind w:left="0" w:right="189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|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color w:val="7D7D7D"/>
          <w:sz w:val="18"/>
        </w:rPr>
        <w:t>P</w:t>
      </w:r>
      <w:r>
        <w:rPr>
          <w:rFonts w:ascii="Tahoma"/>
          <w:color w:val="7D7D7D"/>
          <w:spacing w:val="5"/>
          <w:sz w:val="18"/>
        </w:rPr>
        <w:t> </w:t>
      </w:r>
      <w:r>
        <w:rPr>
          <w:rFonts w:ascii="Tahoma"/>
          <w:color w:val="7D7D7D"/>
          <w:sz w:val="18"/>
        </w:rPr>
        <w:t>a g</w:t>
      </w:r>
      <w:r>
        <w:rPr>
          <w:rFonts w:ascii="Tahoma"/>
          <w:color w:val="7D7D7D"/>
          <w:spacing w:val="2"/>
          <w:sz w:val="18"/>
        </w:rPr>
        <w:t> </w:t>
      </w:r>
      <w:r>
        <w:rPr>
          <w:rFonts w:ascii="Tahoma"/>
          <w:color w:val="7D7D7D"/>
          <w:spacing w:val="-10"/>
          <w:sz w:val="18"/>
        </w:rPr>
        <w:t>e</w:t>
      </w:r>
    </w:p>
    <w:sectPr>
      <w:type w:val="continuous"/>
      <w:pgSz w:w="12240" w:h="15840"/>
      <w:pgMar w:top="560" w:bottom="280" w:left="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074" w:hanging="35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279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77" w:hanging="35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cc.absteam@hecc.oregon.gov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3CEFC-59B4-43A8-A5FE-4DBA2B7D6657}"/>
</file>

<file path=customXml/itemProps2.xml><?xml version="1.0" encoding="utf-8"?>
<ds:datastoreItem xmlns:ds="http://schemas.openxmlformats.org/officeDocument/2006/customXml" ds:itemID="{13FC96DF-2654-4C27-AEF8-70129118E818}"/>
</file>

<file path=customXml/itemProps3.xml><?xml version="1.0" encoding="utf-8"?>
<ds:datastoreItem xmlns:ds="http://schemas.openxmlformats.org/officeDocument/2006/customXml" ds:itemID="{2B7C1D0A-D815-4DB4-9E36-0D0E8557E167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Kulongoski</dc:creator>
  <dc:description/>
  <dcterms:created xsi:type="dcterms:W3CDTF">2024-06-07T18:38:10Z</dcterms:created>
  <dcterms:modified xsi:type="dcterms:W3CDTF">2024-06-07T18:38:10Z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  <property fmtid="{D5CDD505-2E9C-101B-9397-08002B2CF9AE}" pid="3" name="Created">
    <vt:filetime>2024-01-25T00:00:00Z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84499c78dabbf34ff40108862314bf2a23b3d0495a473b1ecc3d5b7a535463d2</vt:lpwstr>
  </property>
  <property fmtid="{D5CDD505-2E9C-101B-9397-08002B2CF9AE}" pid="6" name="LastSaved">
    <vt:filetime>2024-06-07T00:00:00Z</vt:filetime>
  </property>
  <property fmtid="{D5CDD505-2E9C-101B-9397-08002B2CF9AE}" pid="7" name="Producer">
    <vt:lpwstr>Adobe PDF Library 23.8.246</vt:lpwstr>
  </property>
  <property fmtid="{D5CDD505-2E9C-101B-9397-08002B2CF9AE}" pid="8" name="SourceModified">
    <vt:lpwstr>D:20220816183812</vt:lpwstr>
  </property>
</Properties>
</file>