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11FF5668" w14:paraId="1F423159" w14:textId="77777777" w:rsidTr="00891A2F">
        <w:trPr>
          <w:tblHeader/>
        </w:trPr>
        <w:tc>
          <w:tcPr>
            <w:tcW w:w="2160" w:type="dxa"/>
            <w:vAlign w:val="center"/>
          </w:tcPr>
          <w:p w14:paraId="737313A0" w14:textId="77777777" w:rsidR="11FF5668" w:rsidRDefault="11FF5668" w:rsidP="00216312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34F00A" wp14:editId="78D7A490">
                  <wp:extent cx="1077554" cy="1145969"/>
                  <wp:effectExtent l="0" t="0" r="8890" b="0"/>
                  <wp:docPr id="1947804352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0DEE4F12" w14:textId="77777777" w:rsidR="11FF5668" w:rsidRPr="004815E2" w:rsidRDefault="11FF5668" w:rsidP="00216312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5C0CB28C" w14:textId="4B3797DB" w:rsidR="11FF5668" w:rsidRPr="004815E2" w:rsidRDefault="11FF5668" w:rsidP="00216312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608186D1" w14:textId="2E995C6E" w:rsidR="11FF5668" w:rsidRDefault="11FF5668" w:rsidP="00216312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B8: привлечение родителей</w:t>
            </w:r>
          </w:p>
        </w:tc>
      </w:tr>
      <w:tr w:rsidR="11FF5668" w14:paraId="2768B57D" w14:textId="77777777" w:rsidTr="11FF5668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29FB5325" w14:textId="77777777" w:rsidR="11FF5668" w:rsidRDefault="11FF5668" w:rsidP="00216312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7E48A06E" w14:textId="77777777" w:rsidR="11FF5668" w:rsidRDefault="11FF5668" w:rsidP="00216312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097FB803" w14:textId="77777777" w:rsidR="11FF5668" w:rsidRDefault="11FF5668" w:rsidP="00216312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1E8261A4" w14:textId="46579079" w:rsidR="11FF5668" w:rsidRDefault="11FF5668" w:rsidP="00216312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2D7E9578" w14:textId="355BC2F2" w:rsidR="4B7778E9" w:rsidRPr="004815E2" w:rsidRDefault="4B7778E9" w:rsidP="00216312">
      <w:pPr>
        <w:pStyle w:val="Heading1"/>
        <w:spacing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766EEB26" w14:textId="2DA34282" w:rsidR="00216312" w:rsidRDefault="00216312" w:rsidP="002163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 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2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>.</w:t>
      </w:r>
    </w:p>
    <w:p w14:paraId="4B73E1C3" w14:textId="0BC52818" w:rsidR="000E4FA0" w:rsidRPr="004815E2" w:rsidRDefault="00CA3BE5" w:rsidP="00216312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60D970F2" w14:textId="68E96236" w:rsidR="3F30FB77" w:rsidRDefault="3F30FB77" w:rsidP="00216312">
      <w:pPr>
        <w:spacing w:line="240" w:lineRule="auto"/>
        <w:rPr>
          <w:rFonts w:ascii="Calibri" w:eastAsia="Calibri" w:hAnsi="Calibri" w:cs="Calibri"/>
        </w:rPr>
      </w:pPr>
      <w:r>
        <w:t>Показатель B8 относится к области получения надлежащего бесплатного государственного образования (Free Appropriate Public Education, FAPE) в среде с минимальными ограничениями (Least Restrictive Environment, LRE). Он характеризует долю родителей детей, получающих услуги специального образования, которые сообщали о том, что школы привлекали их к участию в мероприятиях по повышению качества услуг и результатов их детей.</w:t>
      </w:r>
    </w:p>
    <w:p w14:paraId="21AABC0C" w14:textId="1D2468F7" w:rsidR="6CBDC2CC" w:rsidRPr="004815E2" w:rsidRDefault="00356BE5" w:rsidP="00C63CE5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179B0E6C" w14:textId="2185F195" w:rsidR="3C1E556C" w:rsidRDefault="00AC06C8" w:rsidP="00216312">
      <w:pPr>
        <w:spacing w:after="80"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Подрядчик администрации штата Орегон проводит ежегодные опросы родителей в семьях из выборки.</w:t>
      </w:r>
    </w:p>
    <w:p w14:paraId="7CA20121" w14:textId="77777777" w:rsidR="00536341" w:rsidRPr="004815E2" w:rsidRDefault="00536341" w:rsidP="00536341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Нужно ли установить или изменить базовое значение для этого показателя?</w:t>
      </w:r>
    </w:p>
    <w:p w14:paraId="6E124765" w14:textId="7C0217F0" w:rsidR="00536341" w:rsidRDefault="00536341" w:rsidP="00536341">
      <w:pPr>
        <w:spacing w:after="120" w:line="240" w:lineRule="auto"/>
      </w:pPr>
      <w:r>
        <w:t>Да, ODE предлагает принять за новые базовые значения этого показателя на 2020-2025 гг. последние полученные данные: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22"/>
      </w:tblGrid>
      <w:tr w:rsidR="00536341" w:rsidRPr="00EC1479" w14:paraId="04A2C2AB" w14:textId="77777777" w:rsidTr="00D41862">
        <w:trPr>
          <w:trHeight w:val="360"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vAlign w:val="center"/>
          </w:tcPr>
          <w:p w14:paraId="4E49E9FF" w14:textId="77777777" w:rsidR="00536341" w:rsidRPr="00EC1479" w:rsidRDefault="00536341" w:rsidP="00D41862">
            <w:pPr>
              <w:spacing w:before="60" w:after="60" w:line="240" w:lineRule="auto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Новые базовые значения</w:t>
            </w:r>
          </w:p>
        </w:tc>
      </w:tr>
      <w:tr w:rsidR="00536341" w:rsidRPr="00EC1479" w14:paraId="31FEE86C" w14:textId="77777777" w:rsidTr="00D41862">
        <w:trPr>
          <w:trHeight w:val="360"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C43A" w14:textId="77777777" w:rsidR="00536341" w:rsidRPr="00EC1479" w:rsidRDefault="00536341" w:rsidP="00D41862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Дошкольники/B619 = 88,99%</w:t>
            </w:r>
          </w:p>
        </w:tc>
      </w:tr>
      <w:tr w:rsidR="00536341" w:rsidRPr="00EC1479" w14:paraId="4B057E1D" w14:textId="77777777" w:rsidTr="00D41862">
        <w:trPr>
          <w:trHeight w:val="360"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3ABF" w14:textId="77777777" w:rsidR="00536341" w:rsidRPr="00EC1479" w:rsidRDefault="00536341" w:rsidP="00D41862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Школьники/B611 = 83,56%</w:t>
            </w:r>
          </w:p>
        </w:tc>
      </w:tr>
    </w:tbl>
    <w:p w14:paraId="0A61ADA5" w14:textId="6278B3B0" w:rsidR="00C06C4E" w:rsidRPr="004815E2" w:rsidRDefault="1E4AC4F9" w:rsidP="00EC1479">
      <w:pPr>
        <w:pStyle w:val="Heading1"/>
        <w:spacing w:after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lastRenderedPageBreak/>
        <w:t>Каких результатов достиг штат Орегон с течением времени?</w:t>
      </w:r>
    </w:p>
    <w:p w14:paraId="787CC78E" w14:textId="77777777" w:rsidR="00E14876" w:rsidRDefault="00536341" w:rsidP="00536341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7DF37FFA" wp14:editId="7B0F0E30">
            <wp:extent cx="6400800" cy="2743200"/>
            <wp:effectExtent l="0" t="0" r="0" b="0"/>
            <wp:docPr id="1" name="Chart 1" title="Данные по показателю B8 (привлечение родителей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900"/>
        <w:gridCol w:w="990"/>
        <w:gridCol w:w="1057"/>
        <w:gridCol w:w="1103"/>
        <w:gridCol w:w="1102"/>
        <w:gridCol w:w="1103"/>
        <w:gridCol w:w="1102"/>
        <w:gridCol w:w="1103"/>
      </w:tblGrid>
      <w:tr w:rsidR="00E14876" w:rsidRPr="00C63CE5" w14:paraId="1A605C73" w14:textId="77777777" w:rsidTr="009C7A16">
        <w:trPr>
          <w:trHeight w:val="53"/>
        </w:trPr>
        <w:tc>
          <w:tcPr>
            <w:tcW w:w="1615" w:type="dxa"/>
            <w:shd w:val="clear" w:color="auto" w:fill="1E8BCD"/>
            <w:vAlign w:val="center"/>
          </w:tcPr>
          <w:p w14:paraId="2F0A0DD0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900" w:type="dxa"/>
            <w:shd w:val="clear" w:color="auto" w:fill="1E8BCD"/>
            <w:vAlign w:val="center"/>
          </w:tcPr>
          <w:p w14:paraId="2FC0C1D9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База</w:t>
            </w:r>
          </w:p>
        </w:tc>
        <w:tc>
          <w:tcPr>
            <w:tcW w:w="990" w:type="dxa"/>
            <w:shd w:val="clear" w:color="auto" w:fill="1E8BCD"/>
            <w:vAlign w:val="center"/>
          </w:tcPr>
          <w:p w14:paraId="10D98125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Год</w:t>
            </w:r>
          </w:p>
        </w:tc>
        <w:tc>
          <w:tcPr>
            <w:tcW w:w="1057" w:type="dxa"/>
            <w:shd w:val="clear" w:color="auto" w:fill="1E8BCD"/>
            <w:vAlign w:val="center"/>
          </w:tcPr>
          <w:p w14:paraId="033C1DB8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2014</w:t>
            </w:r>
          </w:p>
        </w:tc>
        <w:tc>
          <w:tcPr>
            <w:tcW w:w="1103" w:type="dxa"/>
            <w:shd w:val="clear" w:color="auto" w:fill="1E8BCD"/>
            <w:vAlign w:val="center"/>
          </w:tcPr>
          <w:p w14:paraId="344CD4F1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2015</w:t>
            </w:r>
          </w:p>
        </w:tc>
        <w:tc>
          <w:tcPr>
            <w:tcW w:w="1102" w:type="dxa"/>
            <w:shd w:val="clear" w:color="auto" w:fill="1E8BCD"/>
            <w:vAlign w:val="center"/>
          </w:tcPr>
          <w:p w14:paraId="0291E4C5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2016</w:t>
            </w:r>
          </w:p>
        </w:tc>
        <w:tc>
          <w:tcPr>
            <w:tcW w:w="1103" w:type="dxa"/>
            <w:shd w:val="clear" w:color="auto" w:fill="1E8BCD"/>
            <w:vAlign w:val="center"/>
          </w:tcPr>
          <w:p w14:paraId="3201FB0F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1102" w:type="dxa"/>
            <w:shd w:val="clear" w:color="auto" w:fill="1E8BCD"/>
            <w:vAlign w:val="center"/>
          </w:tcPr>
          <w:p w14:paraId="11094FB6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1103" w:type="dxa"/>
            <w:shd w:val="clear" w:color="auto" w:fill="1E8BCD"/>
            <w:vAlign w:val="center"/>
          </w:tcPr>
          <w:p w14:paraId="2D43BAC1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</w:tr>
      <w:tr w:rsidR="00E14876" w:rsidRPr="00C63CE5" w14:paraId="419C8348" w14:textId="77777777" w:rsidTr="009C7A16">
        <w:trPr>
          <w:trHeight w:val="53"/>
        </w:trPr>
        <w:tc>
          <w:tcPr>
            <w:tcW w:w="1615" w:type="dxa"/>
            <w:vAlign w:val="center"/>
          </w:tcPr>
          <w:p w14:paraId="7DC7758D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Дошкольники</w:t>
            </w:r>
          </w:p>
        </w:tc>
        <w:tc>
          <w:tcPr>
            <w:tcW w:w="900" w:type="dxa"/>
            <w:vAlign w:val="center"/>
          </w:tcPr>
          <w:p w14:paraId="67F590E4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990" w:type="dxa"/>
            <w:vAlign w:val="center"/>
          </w:tcPr>
          <w:p w14:paraId="52C45F9B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Цель ≥</w:t>
            </w:r>
          </w:p>
        </w:tc>
        <w:tc>
          <w:tcPr>
            <w:tcW w:w="1057" w:type="dxa"/>
            <w:vAlign w:val="center"/>
          </w:tcPr>
          <w:p w14:paraId="5294A2E9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82,18%</w:t>
            </w:r>
          </w:p>
        </w:tc>
        <w:tc>
          <w:tcPr>
            <w:tcW w:w="1103" w:type="dxa"/>
            <w:vAlign w:val="center"/>
          </w:tcPr>
          <w:p w14:paraId="2B3AAA2D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82,48%</w:t>
            </w:r>
          </w:p>
        </w:tc>
        <w:tc>
          <w:tcPr>
            <w:tcW w:w="1102" w:type="dxa"/>
            <w:vAlign w:val="center"/>
          </w:tcPr>
          <w:p w14:paraId="049F388C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82,68%</w:t>
            </w:r>
          </w:p>
        </w:tc>
        <w:tc>
          <w:tcPr>
            <w:tcW w:w="1103" w:type="dxa"/>
            <w:vAlign w:val="center"/>
          </w:tcPr>
          <w:p w14:paraId="6B490F2D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83,68%</w:t>
            </w:r>
          </w:p>
        </w:tc>
        <w:tc>
          <w:tcPr>
            <w:tcW w:w="1102" w:type="dxa"/>
            <w:vAlign w:val="center"/>
          </w:tcPr>
          <w:p w14:paraId="6CD813A7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85,68%</w:t>
            </w:r>
          </w:p>
        </w:tc>
        <w:tc>
          <w:tcPr>
            <w:tcW w:w="1103" w:type="dxa"/>
            <w:vAlign w:val="center"/>
          </w:tcPr>
          <w:p w14:paraId="3876D37F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85,68%</w:t>
            </w:r>
          </w:p>
        </w:tc>
      </w:tr>
      <w:tr w:rsidR="00E14876" w:rsidRPr="00C63CE5" w14:paraId="430E5B0F" w14:textId="77777777" w:rsidTr="009C7A16">
        <w:trPr>
          <w:trHeight w:val="98"/>
        </w:trPr>
        <w:tc>
          <w:tcPr>
            <w:tcW w:w="1615" w:type="dxa"/>
            <w:vAlign w:val="center"/>
          </w:tcPr>
          <w:p w14:paraId="2C653A53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Дошкольники</w:t>
            </w:r>
          </w:p>
        </w:tc>
        <w:tc>
          <w:tcPr>
            <w:tcW w:w="900" w:type="dxa"/>
            <w:vAlign w:val="center"/>
          </w:tcPr>
          <w:p w14:paraId="427B3B79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82,18%</w:t>
            </w:r>
          </w:p>
        </w:tc>
        <w:tc>
          <w:tcPr>
            <w:tcW w:w="990" w:type="dxa"/>
            <w:vAlign w:val="center"/>
          </w:tcPr>
          <w:p w14:paraId="0CA56913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Данные</w:t>
            </w:r>
          </w:p>
        </w:tc>
        <w:tc>
          <w:tcPr>
            <w:tcW w:w="1057" w:type="dxa"/>
            <w:vAlign w:val="center"/>
          </w:tcPr>
          <w:p w14:paraId="40BCC8C2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82,18%</w:t>
            </w:r>
          </w:p>
        </w:tc>
        <w:tc>
          <w:tcPr>
            <w:tcW w:w="1103" w:type="dxa"/>
            <w:vAlign w:val="center"/>
          </w:tcPr>
          <w:p w14:paraId="256E7F90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81,16%</w:t>
            </w:r>
          </w:p>
        </w:tc>
        <w:tc>
          <w:tcPr>
            <w:tcW w:w="1102" w:type="dxa"/>
            <w:vAlign w:val="center"/>
          </w:tcPr>
          <w:p w14:paraId="1B207CEC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86,23%</w:t>
            </w:r>
          </w:p>
        </w:tc>
        <w:tc>
          <w:tcPr>
            <w:tcW w:w="1103" w:type="dxa"/>
            <w:vAlign w:val="center"/>
          </w:tcPr>
          <w:p w14:paraId="486539C2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79,37%</w:t>
            </w:r>
          </w:p>
        </w:tc>
        <w:tc>
          <w:tcPr>
            <w:tcW w:w="1102" w:type="dxa"/>
            <w:vAlign w:val="center"/>
          </w:tcPr>
          <w:p w14:paraId="6E65A103" w14:textId="77777777" w:rsidR="00E14876" w:rsidRPr="00C63CE5" w:rsidRDefault="00E14876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84,59%</w:t>
            </w:r>
          </w:p>
        </w:tc>
        <w:tc>
          <w:tcPr>
            <w:tcW w:w="1103" w:type="dxa"/>
            <w:vAlign w:val="center"/>
          </w:tcPr>
          <w:p w14:paraId="4BDEF29D" w14:textId="34525585" w:rsidR="00E14876" w:rsidRPr="00C63CE5" w:rsidRDefault="00E14876" w:rsidP="0EFEDBEB">
            <w:pPr>
              <w:spacing w:before="60" w:after="60" w:line="24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88,99%</w:t>
            </w:r>
          </w:p>
        </w:tc>
      </w:tr>
    </w:tbl>
    <w:p w14:paraId="7BFD2671" w14:textId="1990E333" w:rsidR="00536341" w:rsidRDefault="00E14876" w:rsidP="00E14876">
      <w:pPr>
        <w:spacing w:before="120"/>
      </w:pPr>
      <w:r>
        <w:rPr>
          <w:noProof/>
          <w:lang w:val="en-US"/>
        </w:rPr>
        <w:drawing>
          <wp:inline distT="0" distB="0" distL="0" distR="0" wp14:anchorId="1CB5425D" wp14:editId="0A25DE6B">
            <wp:extent cx="6400800" cy="2743200"/>
            <wp:effectExtent l="0" t="0" r="0" b="0"/>
            <wp:docPr id="2" name="Chart 2" title="Данные по показателю B8 (привлечение родителей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94"/>
        <w:gridCol w:w="1085"/>
        <w:gridCol w:w="1084"/>
        <w:gridCol w:w="1085"/>
        <w:gridCol w:w="1084"/>
        <w:gridCol w:w="1085"/>
        <w:gridCol w:w="1084"/>
        <w:gridCol w:w="1085"/>
      </w:tblGrid>
      <w:tr w:rsidR="3272F914" w:rsidRPr="00C63CE5" w14:paraId="36D80071" w14:textId="77777777" w:rsidTr="009C7A16">
        <w:trPr>
          <w:trHeight w:val="53"/>
        </w:trPr>
        <w:tc>
          <w:tcPr>
            <w:tcW w:w="1345" w:type="dxa"/>
            <w:shd w:val="clear" w:color="auto" w:fill="1E8BCD"/>
            <w:vAlign w:val="center"/>
          </w:tcPr>
          <w:p w14:paraId="5AA2DEF0" w14:textId="321F2339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994" w:type="dxa"/>
            <w:shd w:val="clear" w:color="auto" w:fill="1E8BCD"/>
            <w:vAlign w:val="center"/>
          </w:tcPr>
          <w:p w14:paraId="3A767410" w14:textId="64294A17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База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4B843047" w14:textId="2244E77A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Год</w:t>
            </w:r>
          </w:p>
        </w:tc>
        <w:tc>
          <w:tcPr>
            <w:tcW w:w="1084" w:type="dxa"/>
            <w:shd w:val="clear" w:color="auto" w:fill="1E8BCD"/>
            <w:vAlign w:val="center"/>
          </w:tcPr>
          <w:p w14:paraId="092D92A2" w14:textId="2EC872AB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2014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1171E315" w14:textId="1AC448E1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2015</w:t>
            </w:r>
          </w:p>
        </w:tc>
        <w:tc>
          <w:tcPr>
            <w:tcW w:w="1084" w:type="dxa"/>
            <w:shd w:val="clear" w:color="auto" w:fill="1E8BCD"/>
            <w:vAlign w:val="center"/>
          </w:tcPr>
          <w:p w14:paraId="10074E9A" w14:textId="0BE4B738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2016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00264745" w14:textId="7C26FF74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1084" w:type="dxa"/>
            <w:shd w:val="clear" w:color="auto" w:fill="1E8BCD"/>
            <w:vAlign w:val="center"/>
          </w:tcPr>
          <w:p w14:paraId="5BC4FB39" w14:textId="53911085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2AB527DF" w14:textId="67D8A9BD" w:rsidR="41DAB5CE" w:rsidRPr="00C63CE5" w:rsidRDefault="3B4E0939" w:rsidP="00BA0EA6">
            <w:pPr>
              <w:spacing w:before="60" w:after="60" w:line="240" w:lineRule="auto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</w:tr>
      <w:tr w:rsidR="3272F914" w:rsidRPr="00C63CE5" w14:paraId="4B5CAAC7" w14:textId="77777777" w:rsidTr="009C7A16">
        <w:trPr>
          <w:trHeight w:val="53"/>
        </w:trPr>
        <w:tc>
          <w:tcPr>
            <w:tcW w:w="1345" w:type="dxa"/>
            <w:vAlign w:val="center"/>
          </w:tcPr>
          <w:p w14:paraId="32103E38" w14:textId="04889C3A" w:rsidR="3272F914" w:rsidRPr="00C63CE5" w:rsidRDefault="00EC1479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t>Школьники</w:t>
            </w:r>
          </w:p>
        </w:tc>
        <w:tc>
          <w:tcPr>
            <w:tcW w:w="994" w:type="dxa"/>
            <w:vAlign w:val="center"/>
          </w:tcPr>
          <w:p w14:paraId="5816BD9C" w14:textId="0C1FDFB5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1085" w:type="dxa"/>
            <w:vAlign w:val="center"/>
          </w:tcPr>
          <w:p w14:paraId="3CD7EE22" w14:textId="4D663466" w:rsidR="3272F914" w:rsidRPr="00C63CE5" w:rsidRDefault="00AC06C8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Цель ≥</w:t>
            </w:r>
          </w:p>
        </w:tc>
        <w:tc>
          <w:tcPr>
            <w:tcW w:w="1084" w:type="dxa"/>
            <w:vAlign w:val="center"/>
          </w:tcPr>
          <w:p w14:paraId="0D7DA1BB" w14:textId="34A9CF6E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76,23%</w:t>
            </w:r>
          </w:p>
        </w:tc>
        <w:tc>
          <w:tcPr>
            <w:tcW w:w="1085" w:type="dxa"/>
            <w:vAlign w:val="center"/>
          </w:tcPr>
          <w:p w14:paraId="7E61F8FB" w14:textId="29E95120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76,73%</w:t>
            </w:r>
          </w:p>
        </w:tc>
        <w:tc>
          <w:tcPr>
            <w:tcW w:w="1084" w:type="dxa"/>
            <w:vAlign w:val="center"/>
          </w:tcPr>
          <w:p w14:paraId="0B7D34CD" w14:textId="586C78AE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77,73%</w:t>
            </w:r>
          </w:p>
        </w:tc>
        <w:tc>
          <w:tcPr>
            <w:tcW w:w="1085" w:type="dxa"/>
            <w:vAlign w:val="center"/>
          </w:tcPr>
          <w:p w14:paraId="19CC2830" w14:textId="0439BDE8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78,73%</w:t>
            </w:r>
          </w:p>
        </w:tc>
        <w:tc>
          <w:tcPr>
            <w:tcW w:w="1084" w:type="dxa"/>
            <w:vAlign w:val="center"/>
          </w:tcPr>
          <w:p w14:paraId="235D6199" w14:textId="3F8E2BF0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81,23%</w:t>
            </w:r>
          </w:p>
        </w:tc>
        <w:tc>
          <w:tcPr>
            <w:tcW w:w="1085" w:type="dxa"/>
            <w:vAlign w:val="center"/>
          </w:tcPr>
          <w:p w14:paraId="508DC83E" w14:textId="197B856E" w:rsidR="4EF34651" w:rsidRPr="00C63CE5" w:rsidRDefault="5EF4CF3D" w:rsidP="00BA0EA6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81,23%</w:t>
            </w:r>
          </w:p>
        </w:tc>
      </w:tr>
      <w:tr w:rsidR="3272F914" w:rsidRPr="00C63CE5" w14:paraId="08760D51" w14:textId="77777777" w:rsidTr="009C7A16">
        <w:trPr>
          <w:trHeight w:val="53"/>
        </w:trPr>
        <w:tc>
          <w:tcPr>
            <w:tcW w:w="1345" w:type="dxa"/>
            <w:vAlign w:val="center"/>
          </w:tcPr>
          <w:p w14:paraId="6C2B5215" w14:textId="1FE5EAA4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Школьники</w:t>
            </w:r>
          </w:p>
        </w:tc>
        <w:tc>
          <w:tcPr>
            <w:tcW w:w="994" w:type="dxa"/>
            <w:vAlign w:val="center"/>
          </w:tcPr>
          <w:p w14:paraId="19D3C89D" w14:textId="367A9E19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76,23%</w:t>
            </w:r>
          </w:p>
        </w:tc>
        <w:tc>
          <w:tcPr>
            <w:tcW w:w="1085" w:type="dxa"/>
            <w:vAlign w:val="center"/>
          </w:tcPr>
          <w:p w14:paraId="43A5B3C2" w14:textId="064EA2B9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Данные</w:t>
            </w:r>
          </w:p>
        </w:tc>
        <w:tc>
          <w:tcPr>
            <w:tcW w:w="1084" w:type="dxa"/>
            <w:vAlign w:val="center"/>
          </w:tcPr>
          <w:p w14:paraId="7BCB4155" w14:textId="46BAE511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76,23%</w:t>
            </w:r>
          </w:p>
        </w:tc>
        <w:tc>
          <w:tcPr>
            <w:tcW w:w="1085" w:type="dxa"/>
            <w:vAlign w:val="center"/>
          </w:tcPr>
          <w:p w14:paraId="20086AC6" w14:textId="718D8447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78,12%</w:t>
            </w:r>
          </w:p>
        </w:tc>
        <w:tc>
          <w:tcPr>
            <w:tcW w:w="1084" w:type="dxa"/>
            <w:vAlign w:val="center"/>
          </w:tcPr>
          <w:p w14:paraId="1C7D96DB" w14:textId="6B80CB6C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78,74%</w:t>
            </w:r>
          </w:p>
        </w:tc>
        <w:tc>
          <w:tcPr>
            <w:tcW w:w="1085" w:type="dxa"/>
            <w:vAlign w:val="center"/>
          </w:tcPr>
          <w:p w14:paraId="0869C48C" w14:textId="11F727D5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79,43%</w:t>
            </w:r>
          </w:p>
        </w:tc>
        <w:tc>
          <w:tcPr>
            <w:tcW w:w="1084" w:type="dxa"/>
            <w:vAlign w:val="center"/>
          </w:tcPr>
          <w:p w14:paraId="783B3A82" w14:textId="028FF5E8" w:rsidR="3272F914" w:rsidRPr="00C63CE5" w:rsidRDefault="3272F914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</w:rPr>
              <w:t>78,98%</w:t>
            </w:r>
          </w:p>
        </w:tc>
        <w:tc>
          <w:tcPr>
            <w:tcW w:w="1085" w:type="dxa"/>
            <w:vAlign w:val="center"/>
          </w:tcPr>
          <w:p w14:paraId="1C7ADEAF" w14:textId="6F358F96" w:rsidR="4EF34651" w:rsidRPr="00C63CE5" w:rsidRDefault="1E12FAA8" w:rsidP="0EFEDBEB">
            <w:pPr>
              <w:spacing w:before="60" w:after="60" w:line="24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>83,56%</w:t>
            </w:r>
          </w:p>
        </w:tc>
      </w:tr>
    </w:tbl>
    <w:p w14:paraId="2CE474B4" w14:textId="77777777" w:rsidR="00CA1A38" w:rsidRDefault="00CA1A38" w:rsidP="00536341">
      <w:pPr>
        <w:spacing w:before="240" w:line="240" w:lineRule="auto"/>
        <w:rPr>
          <w:rFonts w:ascii="Calibri" w:eastAsia="Calibri" w:hAnsi="Calibri" w:cs="Calibri"/>
          <w:b/>
          <w:bCs/>
          <w:color w:val="1B75BC"/>
          <w:sz w:val="32"/>
          <w:szCs w:val="32"/>
        </w:rPr>
      </w:pPr>
    </w:p>
    <w:p w14:paraId="523C59A5" w14:textId="37E90913" w:rsidR="00CA1A38" w:rsidRDefault="00CA1A38">
      <w:pPr>
        <w:rPr>
          <w:rFonts w:ascii="Calibri" w:eastAsia="Calibri" w:hAnsi="Calibri" w:cs="Calibri"/>
          <w:b/>
          <w:bCs/>
          <w:color w:val="1B75BC"/>
          <w:sz w:val="32"/>
          <w:szCs w:val="32"/>
        </w:rPr>
      </w:pPr>
    </w:p>
    <w:p w14:paraId="3C74FF81" w14:textId="535DD835" w:rsidR="28899E29" w:rsidRPr="00CA1A38" w:rsidRDefault="28899E29" w:rsidP="00536341">
      <w:pPr>
        <w:spacing w:before="240" w:line="240" w:lineRule="auto"/>
        <w:rPr>
          <w:rFonts w:ascii="Calibri" w:eastAsia="Calibri" w:hAnsi="Calibri" w:cs="Calibri"/>
          <w:color w:val="1B75BC"/>
          <w:sz w:val="32"/>
          <w:szCs w:val="32"/>
        </w:rPr>
      </w:pPr>
      <w:r>
        <w:rPr>
          <w:rFonts w:ascii="Calibri" w:hAnsi="Calibri"/>
          <w:b/>
          <w:color w:val="1B75BC"/>
          <w:sz w:val="32"/>
        </w:rPr>
        <w:t>Будут ли установлены новые целевые значения?</w:t>
      </w:r>
    </w:p>
    <w:p w14:paraId="7D244AFD" w14:textId="45386A32" w:rsidR="28899E29" w:rsidRPr="00780D5E" w:rsidRDefault="28899E29" w:rsidP="00780D5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</w:t>
      </w:r>
      <w:r w:rsidR="009C7A16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34FDC570" w14:textId="77777777" w:rsidR="00780D5E" w:rsidRPr="006E77C6" w:rsidRDefault="00780D5E" w:rsidP="00780D5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263E8FCE" w14:textId="068C27B1" w:rsidR="28899E29" w:rsidRPr="00780D5E" w:rsidRDefault="00780D5E" w:rsidP="00780D5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05761B03" w14:textId="69C7E538" w:rsidR="28899E29" w:rsidRDefault="28899E29" w:rsidP="00BA0EA6">
      <w:pPr>
        <w:spacing w:before="240" w:after="12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A"/>
      </w:tblPr>
      <w:tblGrid>
        <w:gridCol w:w="2695"/>
        <w:gridCol w:w="970"/>
        <w:gridCol w:w="1241"/>
        <w:gridCol w:w="1241"/>
        <w:gridCol w:w="1241"/>
        <w:gridCol w:w="1241"/>
        <w:gridCol w:w="1241"/>
      </w:tblGrid>
      <w:tr w:rsidR="4EF34651" w14:paraId="69ACAB28" w14:textId="77777777" w:rsidTr="00891A2F">
        <w:trPr>
          <w:tblHeader/>
        </w:trPr>
        <w:tc>
          <w:tcPr>
            <w:tcW w:w="2695" w:type="dxa"/>
            <w:shd w:val="clear" w:color="auto" w:fill="70AD47" w:themeFill="accent6"/>
          </w:tcPr>
          <w:p w14:paraId="7DC7B6FF" w14:textId="0F2DF6E9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970" w:type="dxa"/>
            <w:shd w:val="clear" w:color="auto" w:fill="70AD47" w:themeFill="accent6"/>
          </w:tcPr>
          <w:p w14:paraId="6299A54B" w14:textId="1F8F3D78" w:rsidR="4EF34651" w:rsidRDefault="05854BB8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41" w:type="dxa"/>
            <w:shd w:val="clear" w:color="auto" w:fill="70AD47" w:themeFill="accent6"/>
          </w:tcPr>
          <w:p w14:paraId="48766A83" w14:textId="668C2692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41" w:type="dxa"/>
            <w:shd w:val="clear" w:color="auto" w:fill="70AD47" w:themeFill="accent6"/>
          </w:tcPr>
          <w:p w14:paraId="22E1BF64" w14:textId="4EF62639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41" w:type="dxa"/>
            <w:shd w:val="clear" w:color="auto" w:fill="70AD47" w:themeFill="accent6"/>
          </w:tcPr>
          <w:p w14:paraId="6388EB27" w14:textId="1F763F9B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41" w:type="dxa"/>
            <w:shd w:val="clear" w:color="auto" w:fill="70AD47" w:themeFill="accent6"/>
          </w:tcPr>
          <w:p w14:paraId="669DF0A5" w14:textId="2209EBB2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41" w:type="dxa"/>
            <w:shd w:val="clear" w:color="auto" w:fill="70AD47" w:themeFill="accent6"/>
          </w:tcPr>
          <w:p w14:paraId="7FA1A41A" w14:textId="67CE4BF0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4EF34651" w14:paraId="66DA0E5A" w14:textId="77777777" w:rsidTr="009C7A16">
        <w:tc>
          <w:tcPr>
            <w:tcW w:w="2695" w:type="dxa"/>
          </w:tcPr>
          <w:p w14:paraId="78AE007E" w14:textId="2B9A0A65" w:rsidR="4EF34651" w:rsidRDefault="4EF34651" w:rsidP="00BA0EA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Цели для дошкольников </w:t>
            </w:r>
            <w:r>
              <w:rPr>
                <w:color w:val="000000" w:themeColor="text1"/>
              </w:rPr>
              <w:t>≥</w:t>
            </w:r>
          </w:p>
        </w:tc>
        <w:tc>
          <w:tcPr>
            <w:tcW w:w="970" w:type="dxa"/>
          </w:tcPr>
          <w:p w14:paraId="541AF659" w14:textId="11F8A2EA" w:rsidR="4EF34651" w:rsidRDefault="6C35AE8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88,99%</w:t>
            </w:r>
          </w:p>
        </w:tc>
        <w:tc>
          <w:tcPr>
            <w:tcW w:w="1241" w:type="dxa"/>
          </w:tcPr>
          <w:p w14:paraId="5DB5E479" w14:textId="09F740C4" w:rsidR="4EF34651" w:rsidRDefault="56CADF76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88,99%</w:t>
            </w:r>
          </w:p>
        </w:tc>
        <w:tc>
          <w:tcPr>
            <w:tcW w:w="1241" w:type="dxa"/>
          </w:tcPr>
          <w:p w14:paraId="31544437" w14:textId="7AE02EA6" w:rsidR="4EF34651" w:rsidRDefault="56CADF76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88,99%</w:t>
            </w:r>
          </w:p>
        </w:tc>
        <w:tc>
          <w:tcPr>
            <w:tcW w:w="1241" w:type="dxa"/>
          </w:tcPr>
          <w:p w14:paraId="43821E06" w14:textId="5A9DA678" w:rsidR="4EF34651" w:rsidRDefault="56CADF76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89,00%</w:t>
            </w:r>
          </w:p>
        </w:tc>
        <w:tc>
          <w:tcPr>
            <w:tcW w:w="1241" w:type="dxa"/>
          </w:tcPr>
          <w:p w14:paraId="76EEA953" w14:textId="31867536" w:rsidR="4EF34651" w:rsidRDefault="56CADF76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89,00%</w:t>
            </w:r>
          </w:p>
        </w:tc>
        <w:tc>
          <w:tcPr>
            <w:tcW w:w="1241" w:type="dxa"/>
          </w:tcPr>
          <w:p w14:paraId="1C90BC93" w14:textId="6A42067B" w:rsidR="4EF34651" w:rsidRDefault="174802E7" w:rsidP="00BA0EA6">
            <w:pPr>
              <w:spacing w:before="60" w:after="60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hAnsi="Calibri"/>
              </w:rPr>
              <w:t>89,00%</w:t>
            </w:r>
          </w:p>
        </w:tc>
      </w:tr>
      <w:tr w:rsidR="4EF34651" w14:paraId="583B82A2" w14:textId="77777777" w:rsidTr="009C7A16">
        <w:tc>
          <w:tcPr>
            <w:tcW w:w="2695" w:type="dxa"/>
          </w:tcPr>
          <w:p w14:paraId="1847239C" w14:textId="1F928694" w:rsidR="4EF34651" w:rsidRDefault="4EF34651" w:rsidP="00BA0EA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Цели для школьников </w:t>
            </w:r>
            <w:r>
              <w:rPr>
                <w:color w:val="000000" w:themeColor="text1"/>
              </w:rPr>
              <w:t>≥</w:t>
            </w:r>
          </w:p>
        </w:tc>
        <w:tc>
          <w:tcPr>
            <w:tcW w:w="970" w:type="dxa"/>
          </w:tcPr>
          <w:p w14:paraId="778E27DA" w14:textId="6C5B3C1F" w:rsidR="4EF34651" w:rsidRDefault="0C322520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83,56%</w:t>
            </w:r>
          </w:p>
        </w:tc>
        <w:tc>
          <w:tcPr>
            <w:tcW w:w="1241" w:type="dxa"/>
          </w:tcPr>
          <w:p w14:paraId="555694E1" w14:textId="15100760" w:rsidR="4EF34651" w:rsidRDefault="48BEA9FF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84,05%</w:t>
            </w:r>
          </w:p>
        </w:tc>
        <w:tc>
          <w:tcPr>
            <w:tcW w:w="1241" w:type="dxa"/>
          </w:tcPr>
          <w:p w14:paraId="2AD6282A" w14:textId="4C1E9C5A" w:rsidR="4EF34651" w:rsidRDefault="48BEA9FF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84,54%</w:t>
            </w:r>
          </w:p>
        </w:tc>
        <w:tc>
          <w:tcPr>
            <w:tcW w:w="1241" w:type="dxa"/>
          </w:tcPr>
          <w:p w14:paraId="0D28F132" w14:textId="674D9D7C" w:rsidR="4EF34651" w:rsidRDefault="48BEA9FF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85,02%</w:t>
            </w:r>
          </w:p>
        </w:tc>
        <w:tc>
          <w:tcPr>
            <w:tcW w:w="1241" w:type="dxa"/>
          </w:tcPr>
          <w:p w14:paraId="093F8A99" w14:textId="62F5136B" w:rsidR="4EF34651" w:rsidRDefault="48BEA9FF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85,51%</w:t>
            </w:r>
          </w:p>
        </w:tc>
        <w:tc>
          <w:tcPr>
            <w:tcW w:w="1241" w:type="dxa"/>
          </w:tcPr>
          <w:p w14:paraId="24C30D4B" w14:textId="0C83CB4A" w:rsidR="4EF34651" w:rsidRDefault="326E540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86,00%</w:t>
            </w:r>
          </w:p>
        </w:tc>
      </w:tr>
    </w:tbl>
    <w:p w14:paraId="7B353ED9" w14:textId="3CDF6858" w:rsidR="28899E29" w:rsidRDefault="28899E29" w:rsidP="00BA0EA6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Пример А демонстрирует постепенный рост.</w:t>
      </w:r>
    </w:p>
    <w:p w14:paraId="54D3DAC2" w14:textId="52D726F3" w:rsidR="28899E29" w:rsidRDefault="28899E29" w:rsidP="00BA0EA6">
      <w:pPr>
        <w:spacing w:before="240"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B"/>
      </w:tblPr>
      <w:tblGrid>
        <w:gridCol w:w="2695"/>
        <w:gridCol w:w="970"/>
        <w:gridCol w:w="1241"/>
        <w:gridCol w:w="1241"/>
        <w:gridCol w:w="1241"/>
        <w:gridCol w:w="1241"/>
        <w:gridCol w:w="1241"/>
      </w:tblGrid>
      <w:tr w:rsidR="4EF34651" w14:paraId="23CDC24E" w14:textId="77777777" w:rsidTr="00891A2F">
        <w:trPr>
          <w:tblHeader/>
        </w:trPr>
        <w:tc>
          <w:tcPr>
            <w:tcW w:w="2695" w:type="dxa"/>
            <w:shd w:val="clear" w:color="auto" w:fill="5B9BD5" w:themeFill="accent5"/>
          </w:tcPr>
          <w:p w14:paraId="4904642F" w14:textId="368DCF96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7"/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970" w:type="dxa"/>
            <w:shd w:val="clear" w:color="auto" w:fill="5B9BD5" w:themeFill="accent5"/>
          </w:tcPr>
          <w:p w14:paraId="44FA6CFB" w14:textId="22C372BD" w:rsidR="4EF34651" w:rsidRDefault="05854BB8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41" w:type="dxa"/>
            <w:shd w:val="clear" w:color="auto" w:fill="5B9BD5" w:themeFill="accent5"/>
          </w:tcPr>
          <w:p w14:paraId="5EA38974" w14:textId="0E33F04A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41" w:type="dxa"/>
            <w:shd w:val="clear" w:color="auto" w:fill="5B9BD5" w:themeFill="accent5"/>
          </w:tcPr>
          <w:p w14:paraId="14F41943" w14:textId="2A0254F2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41" w:type="dxa"/>
            <w:shd w:val="clear" w:color="auto" w:fill="5B9BD5" w:themeFill="accent5"/>
          </w:tcPr>
          <w:p w14:paraId="162F9204" w14:textId="2F290BE3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41" w:type="dxa"/>
            <w:shd w:val="clear" w:color="auto" w:fill="5B9BD5" w:themeFill="accent5"/>
          </w:tcPr>
          <w:p w14:paraId="63D4A56E" w14:textId="6D3C66D6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41" w:type="dxa"/>
            <w:shd w:val="clear" w:color="auto" w:fill="5B9BD5" w:themeFill="accent5"/>
          </w:tcPr>
          <w:p w14:paraId="53C45C73" w14:textId="65EA2BCA" w:rsidR="4EF34651" w:rsidRDefault="4EF34651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bookmarkEnd w:id="0"/>
      <w:tr w:rsidR="4EF34651" w14:paraId="124BBAC7" w14:textId="77777777" w:rsidTr="009C7A16">
        <w:tc>
          <w:tcPr>
            <w:tcW w:w="2695" w:type="dxa"/>
          </w:tcPr>
          <w:p w14:paraId="56A3E17E" w14:textId="2C18F8F9" w:rsidR="4EF34651" w:rsidRDefault="4EF34651" w:rsidP="00BA0EA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Цели для дошкольников </w:t>
            </w:r>
            <w:r>
              <w:rPr>
                <w:color w:val="000000" w:themeColor="text1"/>
              </w:rPr>
              <w:t>≥</w:t>
            </w:r>
          </w:p>
        </w:tc>
        <w:tc>
          <w:tcPr>
            <w:tcW w:w="970" w:type="dxa"/>
          </w:tcPr>
          <w:p w14:paraId="04190129" w14:textId="5AAFFA78" w:rsidR="4EF34651" w:rsidRDefault="496069B2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88,99%</w:t>
            </w:r>
          </w:p>
        </w:tc>
        <w:tc>
          <w:tcPr>
            <w:tcW w:w="1241" w:type="dxa"/>
          </w:tcPr>
          <w:p w14:paraId="187D9AAE" w14:textId="4B2D3C8E" w:rsidR="4EF34651" w:rsidRDefault="2AC75235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89,39%</w:t>
            </w:r>
          </w:p>
        </w:tc>
        <w:tc>
          <w:tcPr>
            <w:tcW w:w="1241" w:type="dxa"/>
          </w:tcPr>
          <w:p w14:paraId="0464BB12" w14:textId="4243C826" w:rsidR="4EF34651" w:rsidRDefault="2AC75235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89,79%</w:t>
            </w:r>
          </w:p>
        </w:tc>
        <w:tc>
          <w:tcPr>
            <w:tcW w:w="1241" w:type="dxa"/>
          </w:tcPr>
          <w:p w14:paraId="54C42B9A" w14:textId="4CFA131A" w:rsidR="4EF34651" w:rsidRDefault="2AC75235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90,20%</w:t>
            </w:r>
          </w:p>
        </w:tc>
        <w:tc>
          <w:tcPr>
            <w:tcW w:w="1241" w:type="dxa"/>
          </w:tcPr>
          <w:p w14:paraId="2170227D" w14:textId="32F58E3F" w:rsidR="4EF34651" w:rsidRDefault="2AC75235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90,60%</w:t>
            </w:r>
          </w:p>
        </w:tc>
        <w:tc>
          <w:tcPr>
            <w:tcW w:w="1241" w:type="dxa"/>
          </w:tcPr>
          <w:p w14:paraId="06C0B568" w14:textId="21506FC2" w:rsidR="4EF34651" w:rsidRDefault="67D8F31E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91,00%</w:t>
            </w:r>
          </w:p>
        </w:tc>
      </w:tr>
      <w:tr w:rsidR="4EF34651" w14:paraId="0F04087D" w14:textId="77777777" w:rsidTr="009C7A16">
        <w:tc>
          <w:tcPr>
            <w:tcW w:w="2695" w:type="dxa"/>
          </w:tcPr>
          <w:p w14:paraId="67DBD4BC" w14:textId="51280463" w:rsidR="4EF34651" w:rsidRDefault="4EF34651" w:rsidP="00BA0EA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Цели для школьников </w:t>
            </w:r>
            <w:r>
              <w:rPr>
                <w:color w:val="000000" w:themeColor="text1"/>
              </w:rPr>
              <w:t>≥</w:t>
            </w:r>
          </w:p>
        </w:tc>
        <w:tc>
          <w:tcPr>
            <w:tcW w:w="970" w:type="dxa"/>
          </w:tcPr>
          <w:p w14:paraId="4C970D78" w14:textId="569A6EC5" w:rsidR="4EF34651" w:rsidRDefault="54B0F1B5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83,56%</w:t>
            </w:r>
          </w:p>
        </w:tc>
        <w:tc>
          <w:tcPr>
            <w:tcW w:w="1241" w:type="dxa"/>
          </w:tcPr>
          <w:p w14:paraId="31B5678C" w14:textId="30C2E963" w:rsidR="4EF34651" w:rsidRDefault="5833D34A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84,45%</w:t>
            </w:r>
          </w:p>
        </w:tc>
        <w:tc>
          <w:tcPr>
            <w:tcW w:w="1241" w:type="dxa"/>
          </w:tcPr>
          <w:p w14:paraId="4C835354" w14:textId="4DDB70A3" w:rsidR="4EF34651" w:rsidRDefault="5833D34A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85,34%</w:t>
            </w:r>
          </w:p>
        </w:tc>
        <w:tc>
          <w:tcPr>
            <w:tcW w:w="1241" w:type="dxa"/>
          </w:tcPr>
          <w:p w14:paraId="0DA52369" w14:textId="3EDDF2C9" w:rsidR="4EF34651" w:rsidRDefault="5833D34A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86,22%</w:t>
            </w:r>
          </w:p>
        </w:tc>
        <w:tc>
          <w:tcPr>
            <w:tcW w:w="1241" w:type="dxa"/>
          </w:tcPr>
          <w:p w14:paraId="14313ACC" w14:textId="6A74E4A1" w:rsidR="4EF34651" w:rsidRDefault="5833D34A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87,11%</w:t>
            </w:r>
          </w:p>
        </w:tc>
        <w:tc>
          <w:tcPr>
            <w:tcW w:w="1241" w:type="dxa"/>
          </w:tcPr>
          <w:p w14:paraId="1649E5FD" w14:textId="20CFB7B5" w:rsidR="4EF34651" w:rsidRDefault="303BD099" w:rsidP="00BA0EA6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88,00%</w:t>
            </w:r>
          </w:p>
        </w:tc>
      </w:tr>
    </w:tbl>
    <w:p w14:paraId="21091F42" w14:textId="07E48D9F" w:rsidR="28899E29" w:rsidRDefault="28899E29" w:rsidP="00BA0EA6">
      <w:pPr>
        <w:spacing w:before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Пример B демонстрирует более активный рост.</w:t>
      </w:r>
    </w:p>
    <w:p w14:paraId="4EBEBB08" w14:textId="5A7305B9" w:rsidR="28899E29" w:rsidRDefault="1BE5ED5B" w:rsidP="009C7A16">
      <w:pPr>
        <w:spacing w:before="240"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b/>
          <w:color w:val="407641"/>
        </w:rPr>
        <w:t>Если вам нужна дополнительная информация, обратитесь к</w:t>
      </w:r>
      <w:r w:rsidR="009C7A16">
        <w:rPr>
          <w:rFonts w:ascii="Calibri" w:hAnsi="Calibri"/>
          <w:b/>
          <w:color w:val="407641"/>
        </w:rPr>
        <w:t xml:space="preserve"> </w:t>
      </w:r>
      <w:r>
        <w:rPr>
          <w:rFonts w:ascii="Calibri" w:hAnsi="Calibri"/>
          <w:b/>
          <w:color w:val="407641"/>
        </w:rPr>
        <w:t>специалисту по вопросам образования Брэду Ленхардту (Brad Lenhardt) по эл. почте</w:t>
      </w:r>
      <w:r>
        <w:rPr>
          <w:rFonts w:ascii="Calibri" w:hAnsi="Calibri"/>
          <w:b/>
          <w:color w:val="000000" w:themeColor="text1"/>
        </w:rPr>
        <w:t xml:space="preserve"> </w:t>
      </w:r>
      <w:hyperlink r:id="rId15">
        <w:r>
          <w:rPr>
            <w:rStyle w:val="Hyperlink"/>
            <w:rFonts w:ascii="Calibri" w:hAnsi="Calibri"/>
            <w:b/>
          </w:rPr>
          <w:t>brad.lenhardt@state.or.us</w:t>
        </w:r>
      </w:hyperlink>
    </w:p>
    <w:p w14:paraId="29E9259D" w14:textId="0441139D" w:rsidR="28899E29" w:rsidRDefault="28899E29" w:rsidP="00216312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040AEF" w14:textId="6F97B68E" w:rsidR="28899E29" w:rsidRDefault="28899E29" w:rsidP="00216312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CA4996" w14:textId="05499B2B" w:rsidR="4EF34651" w:rsidRDefault="4EF34651" w:rsidP="00216312">
      <w:pPr>
        <w:spacing w:line="240" w:lineRule="auto"/>
        <w:rPr>
          <w:rFonts w:ascii="Calibri" w:eastAsia="Calibri" w:hAnsi="Calibri" w:cs="Calibri"/>
          <w:color w:val="408740"/>
          <w:sz w:val="24"/>
          <w:szCs w:val="24"/>
        </w:rPr>
      </w:pPr>
    </w:p>
    <w:p w14:paraId="786E1907" w14:textId="1AD9CA99" w:rsidR="4EF34651" w:rsidRDefault="4EF34651" w:rsidP="00216312">
      <w:pPr>
        <w:spacing w:line="240" w:lineRule="auto"/>
        <w:rPr>
          <w:color w:val="000000" w:themeColor="text1"/>
          <w:sz w:val="24"/>
          <w:szCs w:val="24"/>
        </w:rPr>
      </w:pPr>
    </w:p>
    <w:sectPr w:rsidR="4EF34651">
      <w:footerReference w:type="defaul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B836" w14:textId="77777777" w:rsidR="00133620" w:rsidRDefault="00133620" w:rsidP="00A015AF">
      <w:pPr>
        <w:spacing w:after="0" w:line="240" w:lineRule="auto"/>
      </w:pPr>
      <w:r>
        <w:separator/>
      </w:r>
    </w:p>
  </w:endnote>
  <w:endnote w:type="continuationSeparator" w:id="0">
    <w:p w14:paraId="43220608" w14:textId="77777777" w:rsidR="00133620" w:rsidRDefault="00133620" w:rsidP="00A015AF">
      <w:pPr>
        <w:spacing w:after="0" w:line="240" w:lineRule="auto"/>
      </w:pPr>
      <w:r>
        <w:continuationSeparator/>
      </w:r>
    </w:p>
  </w:endnote>
  <w:endnote w:type="continuationNotice" w:id="1">
    <w:p w14:paraId="515ED802" w14:textId="77777777" w:rsidR="00133620" w:rsidRDefault="00133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B13F" w14:textId="7FEA24F9" w:rsidR="4EF34651" w:rsidRDefault="0026318B" w:rsidP="4EF34651">
    <w:pPr>
      <w:pStyle w:val="Footer"/>
    </w:pPr>
    <w:r>
      <w:t>Плановые показатели штата. Информационный листок. Показатель B8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1A2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CB7C" w14:textId="77777777" w:rsidR="00133620" w:rsidRDefault="00133620" w:rsidP="00A015AF">
      <w:pPr>
        <w:spacing w:after="0" w:line="240" w:lineRule="auto"/>
      </w:pPr>
      <w:r>
        <w:separator/>
      </w:r>
    </w:p>
  </w:footnote>
  <w:footnote w:type="continuationSeparator" w:id="0">
    <w:p w14:paraId="35D08002" w14:textId="77777777" w:rsidR="00133620" w:rsidRDefault="00133620" w:rsidP="00A015AF">
      <w:pPr>
        <w:spacing w:after="0" w:line="240" w:lineRule="auto"/>
      </w:pPr>
      <w:r>
        <w:continuationSeparator/>
      </w:r>
    </w:p>
  </w:footnote>
  <w:footnote w:type="continuationNotice" w:id="1">
    <w:p w14:paraId="0E6C20C3" w14:textId="77777777" w:rsidR="00133620" w:rsidRDefault="001336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847"/>
    <w:multiLevelType w:val="hybridMultilevel"/>
    <w:tmpl w:val="AB7A1CB6"/>
    <w:lvl w:ilvl="0" w:tplc="FCC8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6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A1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C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69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64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4ADE"/>
    <w:multiLevelType w:val="hybridMultilevel"/>
    <w:tmpl w:val="E2E04F48"/>
    <w:lvl w:ilvl="0" w:tplc="ED1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83787"/>
    <w:rsid w:val="000B7B51"/>
    <w:rsid w:val="000E4FA0"/>
    <w:rsid w:val="00133620"/>
    <w:rsid w:val="001B52CA"/>
    <w:rsid w:val="00216312"/>
    <w:rsid w:val="0026318B"/>
    <w:rsid w:val="0026797A"/>
    <w:rsid w:val="0027587A"/>
    <w:rsid w:val="002A100A"/>
    <w:rsid w:val="002D66CC"/>
    <w:rsid w:val="002D7790"/>
    <w:rsid w:val="00300812"/>
    <w:rsid w:val="00300F93"/>
    <w:rsid w:val="00322178"/>
    <w:rsid w:val="00327EB0"/>
    <w:rsid w:val="00356BE5"/>
    <w:rsid w:val="00373050"/>
    <w:rsid w:val="00472F13"/>
    <w:rsid w:val="004815E2"/>
    <w:rsid w:val="00496DD9"/>
    <w:rsid w:val="00506FC3"/>
    <w:rsid w:val="00536341"/>
    <w:rsid w:val="00551272"/>
    <w:rsid w:val="005D6523"/>
    <w:rsid w:val="006231FB"/>
    <w:rsid w:val="0065487F"/>
    <w:rsid w:val="00665A1E"/>
    <w:rsid w:val="00686AA4"/>
    <w:rsid w:val="006B3525"/>
    <w:rsid w:val="00770DA0"/>
    <w:rsid w:val="00780D5E"/>
    <w:rsid w:val="007911BE"/>
    <w:rsid w:val="00800077"/>
    <w:rsid w:val="008707C4"/>
    <w:rsid w:val="00872B58"/>
    <w:rsid w:val="00872BA4"/>
    <w:rsid w:val="00891A2F"/>
    <w:rsid w:val="00963CE4"/>
    <w:rsid w:val="00976053"/>
    <w:rsid w:val="00976EA9"/>
    <w:rsid w:val="00980D00"/>
    <w:rsid w:val="009A23AC"/>
    <w:rsid w:val="009C5702"/>
    <w:rsid w:val="009C7A16"/>
    <w:rsid w:val="00A015AF"/>
    <w:rsid w:val="00A106D4"/>
    <w:rsid w:val="00A42905"/>
    <w:rsid w:val="00AC06C8"/>
    <w:rsid w:val="00AD794D"/>
    <w:rsid w:val="00B51C91"/>
    <w:rsid w:val="00B542E4"/>
    <w:rsid w:val="00B77D28"/>
    <w:rsid w:val="00B87EF5"/>
    <w:rsid w:val="00B9167F"/>
    <w:rsid w:val="00BA0EA6"/>
    <w:rsid w:val="00BB0B34"/>
    <w:rsid w:val="00C06C4E"/>
    <w:rsid w:val="00C41661"/>
    <w:rsid w:val="00C43BD2"/>
    <w:rsid w:val="00C53B82"/>
    <w:rsid w:val="00C63CE5"/>
    <w:rsid w:val="00CA1A38"/>
    <w:rsid w:val="00CA3BE5"/>
    <w:rsid w:val="00CD2C98"/>
    <w:rsid w:val="00CD6A16"/>
    <w:rsid w:val="00D330A6"/>
    <w:rsid w:val="00DB37A5"/>
    <w:rsid w:val="00DC5156"/>
    <w:rsid w:val="00E14876"/>
    <w:rsid w:val="00E18309"/>
    <w:rsid w:val="00E30FFD"/>
    <w:rsid w:val="00E441BE"/>
    <w:rsid w:val="00EC1479"/>
    <w:rsid w:val="00EC75DD"/>
    <w:rsid w:val="00FB5DC0"/>
    <w:rsid w:val="00FC0AA2"/>
    <w:rsid w:val="01B34A81"/>
    <w:rsid w:val="023DF421"/>
    <w:rsid w:val="035723B7"/>
    <w:rsid w:val="03CE31FA"/>
    <w:rsid w:val="05854BB8"/>
    <w:rsid w:val="07DC10C2"/>
    <w:rsid w:val="0842A8EB"/>
    <w:rsid w:val="09156CEF"/>
    <w:rsid w:val="09335D90"/>
    <w:rsid w:val="0A003D7F"/>
    <w:rsid w:val="0A27EFDB"/>
    <w:rsid w:val="0A465528"/>
    <w:rsid w:val="0A755672"/>
    <w:rsid w:val="0B773283"/>
    <w:rsid w:val="0B8E293D"/>
    <w:rsid w:val="0C322520"/>
    <w:rsid w:val="0CD70CBB"/>
    <w:rsid w:val="0E5DC7DB"/>
    <w:rsid w:val="0E9497F5"/>
    <w:rsid w:val="0ECBA6C1"/>
    <w:rsid w:val="0EFEDBEB"/>
    <w:rsid w:val="0F9F9E71"/>
    <w:rsid w:val="118102CB"/>
    <w:rsid w:val="11FF5668"/>
    <w:rsid w:val="1251594E"/>
    <w:rsid w:val="13016201"/>
    <w:rsid w:val="1304DF78"/>
    <w:rsid w:val="174802E7"/>
    <w:rsid w:val="1B867661"/>
    <w:rsid w:val="1BE5ED5B"/>
    <w:rsid w:val="1E12FAA8"/>
    <w:rsid w:val="1E2A045C"/>
    <w:rsid w:val="1E4AC4F9"/>
    <w:rsid w:val="1F639FB2"/>
    <w:rsid w:val="21966300"/>
    <w:rsid w:val="23843594"/>
    <w:rsid w:val="23B82283"/>
    <w:rsid w:val="24993E0C"/>
    <w:rsid w:val="251E9D73"/>
    <w:rsid w:val="2613C8E8"/>
    <w:rsid w:val="281588D1"/>
    <w:rsid w:val="2822FAC6"/>
    <w:rsid w:val="28899E29"/>
    <w:rsid w:val="296292F5"/>
    <w:rsid w:val="2AC75235"/>
    <w:rsid w:val="2AE73A0B"/>
    <w:rsid w:val="2C76AA7E"/>
    <w:rsid w:val="2E22D4A8"/>
    <w:rsid w:val="303BD099"/>
    <w:rsid w:val="30C0F80C"/>
    <w:rsid w:val="321CF482"/>
    <w:rsid w:val="326E5401"/>
    <w:rsid w:val="3272F914"/>
    <w:rsid w:val="328E971D"/>
    <w:rsid w:val="32B1B4D3"/>
    <w:rsid w:val="331B23F1"/>
    <w:rsid w:val="331CD1C5"/>
    <w:rsid w:val="37839F2D"/>
    <w:rsid w:val="38171751"/>
    <w:rsid w:val="3A6CB028"/>
    <w:rsid w:val="3B4E0939"/>
    <w:rsid w:val="3B5B6A74"/>
    <w:rsid w:val="3B83BDAA"/>
    <w:rsid w:val="3B94306C"/>
    <w:rsid w:val="3C0C80C7"/>
    <w:rsid w:val="3C1E556C"/>
    <w:rsid w:val="3D8A0189"/>
    <w:rsid w:val="3E061AEA"/>
    <w:rsid w:val="3E64F3E0"/>
    <w:rsid w:val="3E74A9E2"/>
    <w:rsid w:val="3EA2E964"/>
    <w:rsid w:val="3EA8BBDF"/>
    <w:rsid w:val="3F30FB77"/>
    <w:rsid w:val="40BAAC27"/>
    <w:rsid w:val="419A321F"/>
    <w:rsid w:val="41C161C9"/>
    <w:rsid w:val="41DAB5CE"/>
    <w:rsid w:val="428E0291"/>
    <w:rsid w:val="42954A25"/>
    <w:rsid w:val="43360280"/>
    <w:rsid w:val="433DFD85"/>
    <w:rsid w:val="43A07F1A"/>
    <w:rsid w:val="4694D2EC"/>
    <w:rsid w:val="476173B4"/>
    <w:rsid w:val="48BEA9FF"/>
    <w:rsid w:val="493A0E29"/>
    <w:rsid w:val="496069B2"/>
    <w:rsid w:val="49DAC684"/>
    <w:rsid w:val="4A9B697A"/>
    <w:rsid w:val="4AB86F41"/>
    <w:rsid w:val="4AF85F99"/>
    <w:rsid w:val="4B7778E9"/>
    <w:rsid w:val="4C19DA7D"/>
    <w:rsid w:val="4C84EECC"/>
    <w:rsid w:val="4CA9B4C5"/>
    <w:rsid w:val="4D5775F0"/>
    <w:rsid w:val="4DC154A7"/>
    <w:rsid w:val="4DC759FD"/>
    <w:rsid w:val="4EF34651"/>
    <w:rsid w:val="5179A574"/>
    <w:rsid w:val="5239EBB3"/>
    <w:rsid w:val="5248B67F"/>
    <w:rsid w:val="52BF22C0"/>
    <w:rsid w:val="53B71034"/>
    <w:rsid w:val="54B0F1B5"/>
    <w:rsid w:val="56277CA2"/>
    <w:rsid w:val="56CADF76"/>
    <w:rsid w:val="56FF2CED"/>
    <w:rsid w:val="57AE517E"/>
    <w:rsid w:val="5833D34A"/>
    <w:rsid w:val="583BF190"/>
    <w:rsid w:val="59405C85"/>
    <w:rsid w:val="59AE5D10"/>
    <w:rsid w:val="5ADC2CE6"/>
    <w:rsid w:val="5BB66BB1"/>
    <w:rsid w:val="5E4C9A5B"/>
    <w:rsid w:val="5EF4CF3D"/>
    <w:rsid w:val="5F697387"/>
    <w:rsid w:val="6002AB7F"/>
    <w:rsid w:val="6010CC80"/>
    <w:rsid w:val="6039AA92"/>
    <w:rsid w:val="60B93623"/>
    <w:rsid w:val="6135418B"/>
    <w:rsid w:val="6444DFAF"/>
    <w:rsid w:val="6481A9C3"/>
    <w:rsid w:val="64A1AFB5"/>
    <w:rsid w:val="6551DB58"/>
    <w:rsid w:val="65943897"/>
    <w:rsid w:val="65DFD2A5"/>
    <w:rsid w:val="65E9D2E5"/>
    <w:rsid w:val="679414DE"/>
    <w:rsid w:val="679AC553"/>
    <w:rsid w:val="67A7E7A3"/>
    <w:rsid w:val="67D8F31E"/>
    <w:rsid w:val="6A251BCC"/>
    <w:rsid w:val="6A47138C"/>
    <w:rsid w:val="6B13B68E"/>
    <w:rsid w:val="6B5ECC4A"/>
    <w:rsid w:val="6C062D4C"/>
    <w:rsid w:val="6C35AE81"/>
    <w:rsid w:val="6CAAC3D7"/>
    <w:rsid w:val="6CABE536"/>
    <w:rsid w:val="6CBDC2CC"/>
    <w:rsid w:val="6CD2B94E"/>
    <w:rsid w:val="6D1B4991"/>
    <w:rsid w:val="6F1A4FEC"/>
    <w:rsid w:val="6FE74388"/>
    <w:rsid w:val="70622CEC"/>
    <w:rsid w:val="709A212A"/>
    <w:rsid w:val="70C371B8"/>
    <w:rsid w:val="714C44E1"/>
    <w:rsid w:val="725F4219"/>
    <w:rsid w:val="73B2F60B"/>
    <w:rsid w:val="745F0940"/>
    <w:rsid w:val="7610226C"/>
    <w:rsid w:val="767D19AB"/>
    <w:rsid w:val="78D67123"/>
    <w:rsid w:val="78FFF39E"/>
    <w:rsid w:val="79153EC0"/>
    <w:rsid w:val="7A0030B2"/>
    <w:rsid w:val="7A84CB6F"/>
    <w:rsid w:val="7BE52A1B"/>
    <w:rsid w:val="7CC1215A"/>
    <w:rsid w:val="7D3AE327"/>
    <w:rsid w:val="7D5128D7"/>
    <w:rsid w:val="7D7C76F4"/>
    <w:rsid w:val="7DA9E246"/>
    <w:rsid w:val="7DC3ED2D"/>
    <w:rsid w:val="7DF0AAE8"/>
    <w:rsid w:val="7E99B18E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024939afc7844273a7c08f4474a95d9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brad.lenhardt@state.or.u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rgbClr val="1B75BC"/>
                </a:solidFill>
              </a:rPr>
              <a:t>Данные по показателю B8 (привлечение родителей) в штате Орегон</a:t>
            </a:r>
          </a:p>
          <a:p>
            <a:pPr>
              <a:defRPr/>
            </a:pPr>
            <a:r>
              <a:rPr lang="ru-RU" sz="1300" b="1">
                <a:solidFill>
                  <a:srgbClr val="1B75BC"/>
                </a:solidFill>
              </a:rPr>
              <a:t>Дошкольники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'B8-EC'!$A$2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3.6488231487362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7C-4DC8-AEA6-C86F2FCA35DD}"/>
                </c:ext>
              </c:extLst>
            </c:dLbl>
            <c:dLbl>
              <c:idx val="1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57C-4DC8-AEA6-C86F2FCA35DD}"/>
                </c:ext>
              </c:extLst>
            </c:dLbl>
            <c:dLbl>
              <c:idx val="3"/>
              <c:layout>
                <c:manualLayout>
                  <c:x val="-4.0409745074698314E-2"/>
                  <c:y val="-5.8636584255120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7C-4DC8-AEA6-C86F2FCA35DD}"/>
                </c:ext>
              </c:extLst>
            </c:dLbl>
            <c:dLbl>
              <c:idx val="4"/>
              <c:layout>
                <c:manualLayout>
                  <c:x val="-3.6363210565087394E-2"/>
                  <c:y val="4.6000713061610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57C-4DC8-AEA6-C86F2FCA35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'B8-EC'!$B$1:$G$1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'B8-EC'!$B$2:$G$2</c:f>
              <c:numCache>
                <c:formatCode>0.00%</c:formatCode>
                <c:ptCount val="6"/>
                <c:pt idx="0">
                  <c:v>0.82179999999999997</c:v>
                </c:pt>
                <c:pt idx="1">
                  <c:v>0.81159999999999999</c:v>
                </c:pt>
                <c:pt idx="2">
                  <c:v>0.86229999999999996</c:v>
                </c:pt>
                <c:pt idx="3">
                  <c:v>0.79369999999999996</c:v>
                </c:pt>
                <c:pt idx="4">
                  <c:v>0.84589999999999999</c:v>
                </c:pt>
                <c:pt idx="5">
                  <c:v>0.88790000000000002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57C-4DC8-AEA6-C86F2FCA35DD}"/>
            </c:ext>
          </c:extLst>
        </c:ser>
        <c:ser>
          <c:idx val="1"/>
          <c:order val="1"/>
          <c:tx>
            <c:strRef>
              <c:f>'B8-EC'!$A$3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-4.5953275489455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57C-4DC8-AEA6-C86F2FCA35D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'B8-EC'!$B$1:$G$1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'B8-EC'!$B$3:$G$3</c:f>
              <c:numCache>
                <c:formatCode>0.00%</c:formatCode>
                <c:ptCount val="6"/>
                <c:pt idx="0">
                  <c:v>0.82179999999999997</c:v>
                </c:pt>
                <c:pt idx="1">
                  <c:v>0.82479999999999998</c:v>
                </c:pt>
                <c:pt idx="2">
                  <c:v>0.82679999999999998</c:v>
                </c:pt>
                <c:pt idx="3">
                  <c:v>0.83679999999999999</c:v>
                </c:pt>
                <c:pt idx="4">
                  <c:v>0.85680000000000001</c:v>
                </c:pt>
                <c:pt idx="5">
                  <c:v>0.85680000000000001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57C-4DC8-AEA6-C86F2FCA35D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95000000000000007"/>
          <c:min val="0.7500000000000001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rgbClr val="1B75BC"/>
                </a:solidFill>
              </a:rPr>
              <a:t>Данные по показателю B8 (привлечение родителей) в штате Орегон</a:t>
            </a:r>
          </a:p>
          <a:p>
            <a:pPr>
              <a:defRPr/>
            </a:pPr>
            <a:r>
              <a:rPr lang="ru-RU" sz="1300" b="1">
                <a:solidFill>
                  <a:srgbClr val="1B75BC"/>
                </a:solidFill>
              </a:rPr>
              <a:t>Школьники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'B8-SA'!$A$2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4.4456279584309387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F87-42D1-9D01-11F97A7D1E9C}"/>
                </c:ext>
              </c:extLst>
            </c:dLbl>
            <c:dLbl>
              <c:idx val="5"/>
              <c:layout>
                <c:manualLayout>
                  <c:x val="-4.2433012329503889E-2"/>
                  <c:y val="-3.0099139532375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F87-42D1-9D01-11F97A7D1E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'B8-SA'!$B$1:$G$1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'B8-SA'!$B$2:$G$2</c:f>
              <c:numCache>
                <c:formatCode>0.00%</c:formatCode>
                <c:ptCount val="6"/>
                <c:pt idx="0">
                  <c:v>0.76229999999999998</c:v>
                </c:pt>
                <c:pt idx="1">
                  <c:v>0.78120000000000001</c:v>
                </c:pt>
                <c:pt idx="2">
                  <c:v>0.78739999999999999</c:v>
                </c:pt>
                <c:pt idx="3">
                  <c:v>0.79430000000000001</c:v>
                </c:pt>
                <c:pt idx="4">
                  <c:v>0.78979999999999995</c:v>
                </c:pt>
                <c:pt idx="5">
                  <c:v>0.83540000000000003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87-42D1-9D01-11F97A7D1E9C}"/>
            </c:ext>
          </c:extLst>
        </c:ser>
        <c:ser>
          <c:idx val="1"/>
          <c:order val="1"/>
          <c:tx>
            <c:strRef>
              <c:f>'B8-SA'!$A$3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3.6488231487362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F87-42D1-9D01-11F97A7D1E9C}"/>
                </c:ext>
              </c:extLst>
            </c:dLbl>
            <c:dLbl>
              <c:idx val="1"/>
              <c:layout>
                <c:manualLayout>
                  <c:x val="-4.4456279584309387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F87-42D1-9D01-11F97A7D1E9C}"/>
                </c:ext>
              </c:extLst>
            </c:dLbl>
            <c:dLbl>
              <c:idx val="2"/>
              <c:layout>
                <c:manualLayout>
                  <c:x val="-4.4456279584309387E-2"/>
                  <c:y val="3.9659058678778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F87-42D1-9D01-11F97A7D1E9C}"/>
                </c:ext>
              </c:extLst>
            </c:dLbl>
            <c:dLbl>
              <c:idx val="3"/>
              <c:layout>
                <c:manualLayout>
                  <c:x val="-4.4456279584309311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F87-42D1-9D01-11F97A7D1E9C}"/>
                </c:ext>
              </c:extLst>
            </c:dLbl>
            <c:dLbl>
              <c:idx val="5"/>
              <c:layout>
                <c:manualLayout>
                  <c:x val="-4.4456279584309533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F87-42D1-9D01-11F97A7D1E9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'B8-SA'!$B$1:$G$1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'B8-SA'!$B$3:$G$3</c:f>
              <c:numCache>
                <c:formatCode>0.00%</c:formatCode>
                <c:ptCount val="6"/>
                <c:pt idx="0">
                  <c:v>0.76229999999999998</c:v>
                </c:pt>
                <c:pt idx="1">
                  <c:v>0.76729999999999998</c:v>
                </c:pt>
                <c:pt idx="2">
                  <c:v>0.77729999999999999</c:v>
                </c:pt>
                <c:pt idx="3">
                  <c:v>0.7873</c:v>
                </c:pt>
                <c:pt idx="4">
                  <c:v>0.81230000000000002</c:v>
                </c:pt>
                <c:pt idx="5">
                  <c:v>0.81230000000000002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F87-42D1-9D01-11F97A7D1E9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9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2021-12-17T00:31:58+00:00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7f305cf4-7e8c-42e6-816c-ef6b646f0a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9D40F9-CA09-4D37-9EEE-34A9E7945CE5}"/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2021-12-15T21:19:00Z</dcterms:created>
  <dcterms:modified xsi:type="dcterms:W3CDTF">2021-12-15T21:19:00Z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