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tructural Table"/>
        <w:tblDescription w:val="This table is included to give structure to the document's heading. It is a two column table with the left column containing the title and the right column containing the ODE logo."/>
      </w:tblPr>
      <w:tblGrid>
        <w:gridCol w:w="2160"/>
        <w:gridCol w:w="324"/>
        <w:gridCol w:w="2484"/>
        <w:gridCol w:w="2484"/>
        <w:gridCol w:w="2484"/>
      </w:tblGrid>
      <w:tr w:rsidR="63F338C1" w14:paraId="2362F9A3" w14:textId="77777777" w:rsidTr="00142906">
        <w:trPr>
          <w:trHeight w:val="1890"/>
          <w:tblHeader/>
        </w:trPr>
        <w:tc>
          <w:tcPr>
            <w:tcW w:w="2160" w:type="dxa"/>
            <w:vAlign w:val="center"/>
          </w:tcPr>
          <w:p w14:paraId="07BA5F50" w14:textId="77777777" w:rsidR="63F338C1" w:rsidRDefault="63F338C1" w:rsidP="6DA97DB0">
            <w:pPr>
              <w:jc w:val="center"/>
              <w:rPr>
                <w:rFonts w:eastAsia="Arial"/>
                <w:b/>
                <w:bCs/>
                <w:color w:val="082A75"/>
                <w:sz w:val="36"/>
                <w:szCs w:val="36"/>
              </w:rPr>
            </w:pPr>
            <w:r>
              <w:rPr>
                <w:noProof/>
              </w:rPr>
              <w:drawing>
                <wp:inline distT="0" distB="0" distL="0" distR="0" wp14:anchorId="3904A0C5" wp14:editId="1593ED58">
                  <wp:extent cx="1077554" cy="1145969"/>
                  <wp:effectExtent l="0" t="0" r="8890" b="0"/>
                  <wp:docPr id="1338568022" name="Picture 1944659586" descr="ODE logo" title="O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4659586"/>
                          <pic:cNvPicPr/>
                        </pic:nvPicPr>
                        <pic:blipFill>
                          <a:blip r:embed="rId11">
                            <a:extLst>
                              <a:ext uri="{28A0092B-C50C-407E-A947-70E740481C1C}">
                                <a14:useLocalDpi xmlns:a14="http://schemas.microsoft.com/office/drawing/2010/main" val="0"/>
                              </a:ext>
                            </a:extLst>
                          </a:blip>
                          <a:stretch>
                            <a:fillRect/>
                          </a:stretch>
                        </pic:blipFill>
                        <pic:spPr>
                          <a:xfrm>
                            <a:off x="0" y="0"/>
                            <a:ext cx="1077554" cy="1145969"/>
                          </a:xfrm>
                          <a:prstGeom prst="rect">
                            <a:avLst/>
                          </a:prstGeom>
                        </pic:spPr>
                      </pic:pic>
                    </a:graphicData>
                  </a:graphic>
                </wp:inline>
              </w:drawing>
            </w:r>
          </w:p>
        </w:tc>
        <w:tc>
          <w:tcPr>
            <w:tcW w:w="7776" w:type="dxa"/>
            <w:gridSpan w:val="4"/>
            <w:vAlign w:val="center"/>
          </w:tcPr>
          <w:p w14:paraId="153AFCD7" w14:textId="77777777" w:rsidR="63F338C1" w:rsidRPr="003E715C" w:rsidRDefault="63F338C1" w:rsidP="006B64E1">
            <w:pPr>
              <w:pStyle w:val="Title"/>
              <w:spacing w:after="200"/>
              <w:jc w:val="center"/>
              <w:rPr>
                <w:rFonts w:asciiTheme="minorHAnsi" w:eastAsia="Arial" w:hAnsiTheme="minorHAnsi" w:cstheme="minorBidi"/>
                <w:b/>
                <w:bCs/>
                <w:color w:val="1B75BC"/>
                <w:sz w:val="48"/>
                <w:szCs w:val="48"/>
              </w:rPr>
            </w:pPr>
            <w:r w:rsidRPr="003E715C">
              <w:rPr>
                <w:rFonts w:asciiTheme="minorHAnsi" w:eastAsia="Arial" w:hAnsiTheme="minorHAnsi" w:cstheme="minorBidi"/>
                <w:b/>
                <w:bCs/>
                <w:color w:val="1B75BC"/>
                <w:sz w:val="48"/>
                <w:szCs w:val="48"/>
              </w:rPr>
              <w:t>State Performance Plan (SPP)</w:t>
            </w:r>
          </w:p>
          <w:p w14:paraId="0B2EB097" w14:textId="4B3797DB" w:rsidR="63F338C1" w:rsidRPr="003E715C" w:rsidRDefault="63F338C1" w:rsidP="006B64E1">
            <w:pPr>
              <w:pStyle w:val="Title"/>
              <w:spacing w:after="200"/>
              <w:jc w:val="center"/>
              <w:rPr>
                <w:rFonts w:asciiTheme="minorHAnsi" w:eastAsia="Arial" w:hAnsiTheme="minorHAnsi" w:cstheme="minorBidi"/>
                <w:b/>
                <w:bCs/>
                <w:color w:val="1B75BC"/>
                <w:sz w:val="48"/>
                <w:szCs w:val="48"/>
              </w:rPr>
            </w:pPr>
            <w:r w:rsidRPr="003E715C">
              <w:rPr>
                <w:rFonts w:asciiTheme="minorHAnsi" w:eastAsia="Arial" w:hAnsiTheme="minorHAnsi" w:cstheme="minorBidi"/>
                <w:b/>
                <w:bCs/>
                <w:color w:val="1B75BC"/>
                <w:sz w:val="48"/>
                <w:szCs w:val="48"/>
              </w:rPr>
              <w:t>Fact Sheet</w:t>
            </w:r>
          </w:p>
          <w:p w14:paraId="7B586D5B" w14:textId="5F36ED86" w:rsidR="63F338C1" w:rsidRDefault="63F338C1" w:rsidP="006B64E1">
            <w:pPr>
              <w:pStyle w:val="Title"/>
              <w:spacing w:after="200"/>
              <w:jc w:val="center"/>
              <w:rPr>
                <w:rFonts w:asciiTheme="minorHAnsi" w:eastAsia="Arial" w:hAnsiTheme="minorHAnsi" w:cstheme="minorBidi"/>
                <w:b/>
                <w:bCs/>
                <w:color w:val="082A75"/>
                <w:sz w:val="48"/>
                <w:szCs w:val="48"/>
              </w:rPr>
            </w:pPr>
            <w:r w:rsidRPr="003E715C">
              <w:rPr>
                <w:rFonts w:asciiTheme="minorHAnsi" w:eastAsia="Arial" w:hAnsiTheme="minorHAnsi" w:cstheme="minorBidi"/>
                <w:b/>
                <w:bCs/>
                <w:color w:val="1B75BC"/>
                <w:sz w:val="32"/>
                <w:szCs w:val="32"/>
              </w:rPr>
              <w:t>Indicator B5: Least Restrictive Environment (LRE) Placement</w:t>
            </w:r>
          </w:p>
        </w:tc>
      </w:tr>
      <w:tr w:rsidR="63F338C1" w14:paraId="097EB651" w14:textId="77777777" w:rsidTr="63F338C1">
        <w:trPr>
          <w:trHeight w:val="72"/>
        </w:trPr>
        <w:tc>
          <w:tcPr>
            <w:tcW w:w="2484" w:type="dxa"/>
            <w:gridSpan w:val="2"/>
            <w:shd w:val="clear" w:color="auto" w:fill="9F2065"/>
          </w:tcPr>
          <w:p w14:paraId="4B3BB040" w14:textId="77777777" w:rsidR="63F338C1" w:rsidRDefault="63F338C1" w:rsidP="006B64E1">
            <w:pPr>
              <w:rPr>
                <w:noProof/>
              </w:rPr>
            </w:pPr>
          </w:p>
        </w:tc>
        <w:tc>
          <w:tcPr>
            <w:tcW w:w="2484" w:type="dxa"/>
            <w:shd w:val="clear" w:color="auto" w:fill="E26B2A"/>
          </w:tcPr>
          <w:p w14:paraId="5C38AC29" w14:textId="77777777" w:rsidR="63F338C1" w:rsidRDefault="63F338C1" w:rsidP="006B64E1">
            <w:pPr>
              <w:pStyle w:val="Title"/>
              <w:rPr>
                <w:rFonts w:asciiTheme="minorHAnsi" w:eastAsia="Arial" w:hAnsiTheme="minorHAnsi" w:cstheme="minorBidi"/>
                <w:b/>
                <w:bCs/>
                <w:color w:val="082974"/>
                <w:sz w:val="22"/>
                <w:szCs w:val="22"/>
              </w:rPr>
            </w:pPr>
          </w:p>
        </w:tc>
        <w:tc>
          <w:tcPr>
            <w:tcW w:w="2484" w:type="dxa"/>
            <w:shd w:val="clear" w:color="auto" w:fill="1B75BC"/>
          </w:tcPr>
          <w:p w14:paraId="3C205EEA" w14:textId="77777777" w:rsidR="63F338C1" w:rsidRDefault="63F338C1" w:rsidP="006B64E1">
            <w:pPr>
              <w:pStyle w:val="Title"/>
              <w:rPr>
                <w:rFonts w:asciiTheme="minorHAnsi" w:eastAsia="Arial" w:hAnsiTheme="minorHAnsi" w:cstheme="minorBidi"/>
                <w:b/>
                <w:bCs/>
                <w:color w:val="082974"/>
                <w:sz w:val="22"/>
                <w:szCs w:val="22"/>
              </w:rPr>
            </w:pPr>
          </w:p>
        </w:tc>
        <w:tc>
          <w:tcPr>
            <w:tcW w:w="2484" w:type="dxa"/>
            <w:shd w:val="clear" w:color="auto" w:fill="408740"/>
          </w:tcPr>
          <w:p w14:paraId="1E122F27" w14:textId="46579079" w:rsidR="63F338C1" w:rsidRDefault="63F338C1" w:rsidP="006B64E1">
            <w:pPr>
              <w:pStyle w:val="Title"/>
              <w:rPr>
                <w:rFonts w:asciiTheme="minorHAnsi" w:eastAsia="Arial" w:hAnsiTheme="minorHAnsi" w:cstheme="minorBidi"/>
                <w:b/>
                <w:bCs/>
                <w:color w:val="082974"/>
                <w:sz w:val="22"/>
                <w:szCs w:val="22"/>
              </w:rPr>
            </w:pPr>
          </w:p>
        </w:tc>
      </w:tr>
    </w:tbl>
    <w:p w14:paraId="7F0A3134" w14:textId="010B405A" w:rsidR="7D38885E" w:rsidRPr="00165294" w:rsidRDefault="7D38885E" w:rsidP="00EC6A35">
      <w:pPr>
        <w:pStyle w:val="Heading1"/>
        <w:spacing w:before="120" w:line="240" w:lineRule="auto"/>
        <w:rPr>
          <w:rFonts w:ascii="Calibri" w:eastAsia="Calibri" w:hAnsi="Calibri" w:cs="Calibri"/>
          <w:color w:val="1B75BC"/>
        </w:rPr>
      </w:pPr>
      <w:r w:rsidRPr="00165294">
        <w:rPr>
          <w:rFonts w:ascii="Calibri" w:eastAsia="Calibri" w:hAnsi="Calibri" w:cs="Calibri"/>
          <w:b/>
          <w:bCs/>
          <w:color w:val="1B75BC"/>
        </w:rPr>
        <w:t>Oregon State Performance Plan</w:t>
      </w:r>
    </w:p>
    <w:p w14:paraId="24F98428" w14:textId="1E6EEA9B" w:rsidR="7D38885E" w:rsidRDefault="00585E53" w:rsidP="006B64E1">
      <w:pPr>
        <w:spacing w:after="0" w:line="240" w:lineRule="auto"/>
        <w:rPr>
          <w:rFonts w:ascii="Calibri" w:eastAsia="Calibri" w:hAnsi="Calibri" w:cs="Calibri"/>
          <w:color w:val="000000" w:themeColor="text1"/>
        </w:rPr>
      </w:pPr>
      <w:r w:rsidRPr="00E45C53">
        <w:rPr>
          <w:rFonts w:ascii="Calibri" w:eastAsia="Calibri" w:hAnsi="Calibri" w:cs="Calibri"/>
          <w:color w:val="000000" w:themeColor="text1"/>
        </w:rPr>
        <w:t xml:space="preserve">Under the Individuals with Disabilities Education Act of 2004 (IDEA), the Oregon Department of Education (ODE) is required to submit a six-year State Performance Plan (SPP) to the Office of Special Education </w:t>
      </w:r>
      <w:r w:rsidR="008B0A37">
        <w:rPr>
          <w:rFonts w:ascii="Calibri" w:eastAsia="Calibri" w:hAnsi="Calibri" w:cs="Calibri"/>
          <w:color w:val="000000" w:themeColor="text1"/>
        </w:rPr>
        <w:t xml:space="preserve">Programs </w:t>
      </w:r>
      <w:r w:rsidRPr="00E45C53">
        <w:rPr>
          <w:rFonts w:ascii="Calibri" w:eastAsia="Calibri" w:hAnsi="Calibri" w:cs="Calibri"/>
          <w:color w:val="000000" w:themeColor="text1"/>
        </w:rPr>
        <w:t xml:space="preserve">(OSEP). The OSEP has developed key performance measures, known as indicators, to measure both compliance and results. The OSEP sets the targets for compliance indicators and the ODE sets targets for the results indicators. The SPP must include targets for each results indicator. The ODE reports on progress made toward these indicators each year in the Annual Performance Report (APR). Every six years the ODE must review results targets and engage key partners in the development of new targets. ODE is currently seeking input related to the indicators for which targets must be established and will be holding a public input session to discuss data related to this indicator in December 2021. Please see the </w:t>
      </w:r>
      <w:hyperlink r:id="rId12">
        <w:r w:rsidRPr="00E45C53">
          <w:rPr>
            <w:rStyle w:val="Hyperlink"/>
            <w:rFonts w:ascii="Calibri" w:eastAsia="Calibri" w:hAnsi="Calibri" w:cs="Calibri"/>
          </w:rPr>
          <w:t>ODE State Performance Plan and Annual Reports for Special Education webpage</w:t>
        </w:r>
      </w:hyperlink>
      <w:r w:rsidRPr="00E45C53">
        <w:rPr>
          <w:rFonts w:ascii="Calibri" w:eastAsia="Calibri" w:hAnsi="Calibri" w:cs="Calibri"/>
          <w:color w:val="000000" w:themeColor="text1"/>
        </w:rPr>
        <w:t xml:space="preserve"> for more information and to register for the public input session. You can also provide input without attending the session through </w:t>
      </w:r>
      <w:hyperlink r:id="rId13" w:history="1">
        <w:r w:rsidRPr="00C00F89">
          <w:rPr>
            <w:rStyle w:val="Hyperlink"/>
            <w:rFonts w:ascii="Calibri" w:eastAsia="Calibri" w:hAnsi="Calibri" w:cs="Calibri"/>
          </w:rPr>
          <w:t>this survey</w:t>
        </w:r>
      </w:hyperlink>
      <w:r>
        <w:rPr>
          <w:rFonts w:ascii="Calibri" w:eastAsia="Calibri" w:hAnsi="Calibri" w:cs="Calibri"/>
          <w:color w:val="000000" w:themeColor="text1"/>
        </w:rPr>
        <w:t>.</w:t>
      </w:r>
    </w:p>
    <w:p w14:paraId="08C77820" w14:textId="38489BE4" w:rsidR="38171751" w:rsidRPr="00165294" w:rsidRDefault="00CA3BE5" w:rsidP="00EC6A35">
      <w:pPr>
        <w:pStyle w:val="Heading1"/>
        <w:spacing w:before="120" w:line="240" w:lineRule="auto"/>
        <w:rPr>
          <w:rFonts w:asciiTheme="minorHAnsi" w:hAnsiTheme="minorHAnsi" w:cstheme="minorBidi"/>
          <w:b/>
          <w:bCs/>
          <w:color w:val="1B75BC"/>
        </w:rPr>
      </w:pPr>
      <w:r w:rsidRPr="00165294">
        <w:rPr>
          <w:rFonts w:asciiTheme="minorHAnsi" w:hAnsiTheme="minorHAnsi" w:cstheme="minorBidi"/>
          <w:b/>
          <w:bCs/>
          <w:color w:val="1B75BC"/>
        </w:rPr>
        <w:t>What does this indicator measure</w:t>
      </w:r>
      <w:r w:rsidR="0ECBA6C1" w:rsidRPr="00165294">
        <w:rPr>
          <w:rFonts w:asciiTheme="minorHAnsi" w:hAnsiTheme="minorHAnsi" w:cstheme="minorBidi"/>
          <w:b/>
          <w:bCs/>
          <w:color w:val="1B75BC"/>
        </w:rPr>
        <w:t xml:space="preserve"> and why is it important</w:t>
      </w:r>
      <w:r w:rsidRPr="00165294">
        <w:rPr>
          <w:rFonts w:asciiTheme="minorHAnsi" w:hAnsiTheme="minorHAnsi" w:cstheme="minorBidi"/>
          <w:b/>
          <w:bCs/>
          <w:color w:val="1B75BC"/>
        </w:rPr>
        <w:t>?</w:t>
      </w:r>
    </w:p>
    <w:p w14:paraId="78905488" w14:textId="70212DAF" w:rsidR="00CB50E1" w:rsidRPr="004D196C" w:rsidRDefault="00CB50E1" w:rsidP="00CB50E1">
      <w:pPr>
        <w:spacing w:after="0" w:line="240" w:lineRule="auto"/>
      </w:pPr>
      <w:r w:rsidRPr="004D196C">
        <w:t xml:space="preserve">Indicator B5 addresses </w:t>
      </w:r>
      <w:r w:rsidRPr="004D196C">
        <w:rPr>
          <w:rFonts w:ascii="Calibri" w:eastAsia="Calibri" w:hAnsi="Calibri" w:cs="Calibri"/>
          <w:color w:val="000000" w:themeColor="text1"/>
        </w:rPr>
        <w:t xml:space="preserve">a Free Appropriate Public Education (FAPE) in the </w:t>
      </w:r>
      <w:r>
        <w:rPr>
          <w:rFonts w:ascii="Calibri" w:eastAsia="Calibri" w:hAnsi="Calibri" w:cs="Calibri"/>
          <w:color w:val="000000" w:themeColor="text1"/>
        </w:rPr>
        <w:t xml:space="preserve">Least Restrictive Environment, or </w:t>
      </w:r>
      <w:r w:rsidRPr="004D196C">
        <w:rPr>
          <w:rFonts w:ascii="Calibri" w:eastAsia="Calibri" w:hAnsi="Calibri" w:cs="Calibri"/>
          <w:color w:val="000000" w:themeColor="text1"/>
        </w:rPr>
        <w:t>LRE</w:t>
      </w:r>
      <w:r w:rsidRPr="004D196C">
        <w:t xml:space="preserve"> </w:t>
      </w:r>
      <w:r>
        <w:t xml:space="preserve">as it is more commonly called, </w:t>
      </w:r>
      <w:r w:rsidRPr="004D196C">
        <w:t xml:space="preserve">by measuring the percent of children with IEPs aged </w:t>
      </w:r>
      <w:r w:rsidR="000922AC">
        <w:t xml:space="preserve">5 </w:t>
      </w:r>
      <w:r w:rsidR="00856496">
        <w:t>who are enrolled in k</w:t>
      </w:r>
      <w:r w:rsidR="000922AC">
        <w:t xml:space="preserve">indergarten and aged </w:t>
      </w:r>
      <w:r w:rsidRPr="004D196C">
        <w:t xml:space="preserve">6 through 21 </w:t>
      </w:r>
      <w:r>
        <w:t xml:space="preserve">who are </w:t>
      </w:r>
      <w:r w:rsidRPr="004D196C">
        <w:t>served/educated:</w:t>
      </w:r>
    </w:p>
    <w:p w14:paraId="5407DB44" w14:textId="77777777" w:rsidR="00CB50E1" w:rsidRPr="004D196C" w:rsidRDefault="00CB50E1" w:rsidP="00CB50E1">
      <w:pPr>
        <w:pStyle w:val="ListParagraph"/>
        <w:numPr>
          <w:ilvl w:val="0"/>
          <w:numId w:val="9"/>
        </w:numPr>
        <w:spacing w:line="240" w:lineRule="auto"/>
      </w:pPr>
      <w:r w:rsidRPr="004D196C">
        <w:t>Inside the regular class 80% or more of the day;</w:t>
      </w:r>
    </w:p>
    <w:p w14:paraId="4C73B544" w14:textId="77777777" w:rsidR="00CB50E1" w:rsidRPr="004D196C" w:rsidRDefault="00CB50E1" w:rsidP="00CB50E1">
      <w:pPr>
        <w:pStyle w:val="ListParagraph"/>
        <w:numPr>
          <w:ilvl w:val="0"/>
          <w:numId w:val="9"/>
        </w:numPr>
        <w:spacing w:line="240" w:lineRule="auto"/>
      </w:pPr>
      <w:r w:rsidRPr="004D196C">
        <w:t>Inside the regular class less than 40% of the day; and</w:t>
      </w:r>
    </w:p>
    <w:p w14:paraId="0DFDCB52" w14:textId="77777777" w:rsidR="00CB50E1" w:rsidRPr="004D196C" w:rsidRDefault="00CB50E1" w:rsidP="00EC6A35">
      <w:pPr>
        <w:pStyle w:val="ListParagraph"/>
        <w:numPr>
          <w:ilvl w:val="0"/>
          <w:numId w:val="9"/>
        </w:numPr>
        <w:spacing w:after="120" w:line="240" w:lineRule="auto"/>
      </w:pPr>
      <w:r w:rsidRPr="004D196C">
        <w:t>In separate schools, residential facilities, or homebound/hospital placements.</w:t>
      </w:r>
    </w:p>
    <w:p w14:paraId="586A9EB6" w14:textId="668E53B7" w:rsidR="006317DA" w:rsidRDefault="00CB50E1" w:rsidP="00EC6A35">
      <w:pPr>
        <w:spacing w:after="120" w:line="240" w:lineRule="auto"/>
      </w:pPr>
      <w:r w:rsidRPr="004D196C">
        <w:rPr>
          <w:rFonts w:ascii="Calibri" w:eastAsia="Calibri" w:hAnsi="Calibri" w:cs="Calibri"/>
        </w:rPr>
        <w:t>In basic terms, LRE</w:t>
      </w:r>
      <w:r w:rsidR="00B74338">
        <w:rPr>
          <w:rStyle w:val="FootnoteReference"/>
          <w:rFonts w:ascii="Calibri" w:eastAsia="Calibri" w:hAnsi="Calibri" w:cs="Calibri"/>
        </w:rPr>
        <w:footnoteReference w:id="2"/>
      </w:r>
      <w:r w:rsidRPr="004D196C">
        <w:rPr>
          <w:rFonts w:ascii="Calibri" w:eastAsia="Calibri" w:hAnsi="Calibri" w:cs="Calibri"/>
        </w:rPr>
        <w:t xml:space="preserve"> refers to the setting where a child with a disability can receive an appropriate education designed to meet their educational needs, alongside peers without disabilities to the maximum extent appropriate. </w:t>
      </w:r>
      <w:r w:rsidR="006317DA" w:rsidRPr="00F25E0F">
        <w:rPr>
          <w:rFonts w:ascii="Calibri" w:eastAsia="Calibri" w:hAnsi="Calibri" w:cs="Calibri"/>
        </w:rPr>
        <w:t>LRE is a foundational element in building an appropriate IEP that can improve outcomes for a child – in school and life.</w:t>
      </w:r>
      <w:r w:rsidR="006317DA">
        <w:rPr>
          <w:rFonts w:ascii="Calibri" w:eastAsia="Calibri" w:hAnsi="Calibri" w:cs="Calibri"/>
        </w:rPr>
        <w:t xml:space="preserve"> </w:t>
      </w:r>
      <w:r w:rsidR="006317DA" w:rsidRPr="004D196C">
        <w:t xml:space="preserve">For FAPE in the LRE to occur, the IEP development (or acceptance for transfer student) </w:t>
      </w:r>
      <w:r w:rsidR="006317DA" w:rsidRPr="004D196C">
        <w:rPr>
          <w:u w:val="single"/>
        </w:rPr>
        <w:t>must precede the placement decision</w:t>
      </w:r>
      <w:r w:rsidR="006317DA">
        <w:t>. The present levels</w:t>
      </w:r>
      <w:r w:rsidR="006317DA" w:rsidRPr="004D196C">
        <w:t xml:space="preserve"> </w:t>
      </w:r>
      <w:r w:rsidR="006317DA">
        <w:t>of academic and functional performance provide</w:t>
      </w:r>
      <w:r w:rsidR="006317DA" w:rsidRPr="004D196C">
        <w:t xml:space="preserve"> the background for </w:t>
      </w:r>
      <w:r w:rsidR="006317DA">
        <w:t xml:space="preserve">the child’s </w:t>
      </w:r>
      <w:r w:rsidR="006317DA" w:rsidRPr="004D196C">
        <w:t xml:space="preserve">placement and for the LRE. The “nonparticipation statement” </w:t>
      </w:r>
      <w:r w:rsidR="006317DA">
        <w:t xml:space="preserve">in the IEP </w:t>
      </w:r>
      <w:r w:rsidR="006317DA" w:rsidRPr="004D196C">
        <w:t>contributes to placement, but in and of itself is not placement.</w:t>
      </w:r>
    </w:p>
    <w:p w14:paraId="507CB3DD" w14:textId="3B0AA18E" w:rsidR="002D66CC" w:rsidRPr="004D196C" w:rsidRDefault="00CB50E1" w:rsidP="004D196C">
      <w:pPr>
        <w:spacing w:after="0" w:line="240" w:lineRule="auto"/>
      </w:pPr>
      <w:r w:rsidRPr="004D196C">
        <w:rPr>
          <w:rFonts w:ascii="Calibri" w:eastAsia="Calibri" w:hAnsi="Calibri" w:cs="Calibri"/>
        </w:rPr>
        <w:t>The LRE requirements in the IDEA express a strong preference, not a mandate, for educating children with disabilities in regular classes alongside their peers without disabilities. (71 Fed. Reg. 46585)</w:t>
      </w:r>
      <w:r w:rsidR="00B74338">
        <w:rPr>
          <w:rFonts w:ascii="Calibri" w:eastAsia="Calibri" w:hAnsi="Calibri" w:cs="Calibri"/>
        </w:rPr>
        <w:t xml:space="preserve"> </w:t>
      </w:r>
      <w:r w:rsidR="78694CE0" w:rsidRPr="004D196C">
        <w:rPr>
          <w:rFonts w:ascii="Calibri" w:eastAsia="Calibri" w:hAnsi="Calibri" w:cs="Calibri"/>
        </w:rPr>
        <w:t>LRE is one of several vital components in the development of a child’s Individualized Education Program (IEP) and plays a critical role, influencing:</w:t>
      </w:r>
    </w:p>
    <w:p w14:paraId="1BC25546" w14:textId="5DE08701" w:rsidR="002D66CC" w:rsidRPr="004D196C" w:rsidRDefault="78694CE0" w:rsidP="006B64E1">
      <w:pPr>
        <w:pStyle w:val="ListParagraph"/>
        <w:numPr>
          <w:ilvl w:val="0"/>
          <w:numId w:val="1"/>
        </w:numPr>
        <w:spacing w:line="240" w:lineRule="auto"/>
        <w:rPr>
          <w:rFonts w:eastAsiaTheme="minorEastAsia"/>
        </w:rPr>
      </w:pPr>
      <w:r w:rsidRPr="004D196C">
        <w:rPr>
          <w:rFonts w:ascii="Calibri" w:eastAsia="Calibri" w:hAnsi="Calibri" w:cs="Calibri"/>
        </w:rPr>
        <w:t xml:space="preserve">Where a child spends </w:t>
      </w:r>
      <w:r w:rsidR="47DDEE75" w:rsidRPr="004D196C">
        <w:rPr>
          <w:rFonts w:ascii="Calibri" w:eastAsia="Calibri" w:hAnsi="Calibri" w:cs="Calibri"/>
        </w:rPr>
        <w:t>their</w:t>
      </w:r>
      <w:r w:rsidRPr="004D196C">
        <w:rPr>
          <w:rFonts w:ascii="Calibri" w:eastAsia="Calibri" w:hAnsi="Calibri" w:cs="Calibri"/>
        </w:rPr>
        <w:t xml:space="preserve"> time at school, </w:t>
      </w:r>
    </w:p>
    <w:p w14:paraId="51922E9D" w14:textId="77777777" w:rsidR="00F25E0F" w:rsidRPr="00F25E0F" w:rsidRDefault="78694CE0" w:rsidP="00F777C1">
      <w:pPr>
        <w:pStyle w:val="ListParagraph"/>
        <w:numPr>
          <w:ilvl w:val="0"/>
          <w:numId w:val="1"/>
        </w:numPr>
        <w:spacing w:line="240" w:lineRule="auto"/>
        <w:rPr>
          <w:rFonts w:eastAsiaTheme="minorEastAsia"/>
        </w:rPr>
      </w:pPr>
      <w:r w:rsidRPr="00F25E0F">
        <w:rPr>
          <w:rFonts w:ascii="Calibri" w:eastAsia="Calibri" w:hAnsi="Calibri" w:cs="Calibri"/>
        </w:rPr>
        <w:t xml:space="preserve">How services are provided, and </w:t>
      </w:r>
    </w:p>
    <w:p w14:paraId="3A0D7B08" w14:textId="64FBF775" w:rsidR="002D66CC" w:rsidRPr="00F25E0F" w:rsidRDefault="00F25E0F" w:rsidP="00F777C1">
      <w:pPr>
        <w:pStyle w:val="ListParagraph"/>
        <w:numPr>
          <w:ilvl w:val="0"/>
          <w:numId w:val="1"/>
        </w:numPr>
        <w:spacing w:line="240" w:lineRule="auto"/>
        <w:rPr>
          <w:rFonts w:eastAsiaTheme="minorEastAsia"/>
        </w:rPr>
      </w:pPr>
      <w:r>
        <w:rPr>
          <w:rFonts w:ascii="Calibri" w:eastAsia="Calibri" w:hAnsi="Calibri" w:cs="Calibri"/>
        </w:rPr>
        <w:t>T</w:t>
      </w:r>
      <w:r w:rsidR="78694CE0" w:rsidRPr="00F25E0F">
        <w:rPr>
          <w:rFonts w:ascii="Calibri" w:eastAsia="Calibri" w:hAnsi="Calibri" w:cs="Calibri"/>
        </w:rPr>
        <w:t>he relationships the child develops within the school and community</w:t>
      </w:r>
      <w:r>
        <w:rPr>
          <w:rFonts w:ascii="Calibri" w:eastAsia="Calibri" w:hAnsi="Calibri" w:cs="Calibri"/>
        </w:rPr>
        <w:t>.</w:t>
      </w:r>
    </w:p>
    <w:p w14:paraId="21AABC0C" w14:textId="1D2468F7" w:rsidR="6CBDC2CC" w:rsidRPr="00165294" w:rsidRDefault="00356BE5" w:rsidP="006B64E1">
      <w:pPr>
        <w:pStyle w:val="Heading1"/>
        <w:spacing w:before="0" w:line="240" w:lineRule="auto"/>
        <w:rPr>
          <w:rFonts w:asciiTheme="minorHAnsi" w:hAnsiTheme="minorHAnsi" w:cstheme="minorBidi"/>
          <w:b/>
          <w:bCs/>
          <w:color w:val="1B75BC"/>
        </w:rPr>
      </w:pPr>
      <w:r w:rsidRPr="44B23A45">
        <w:rPr>
          <w:rFonts w:asciiTheme="minorHAnsi" w:hAnsiTheme="minorHAnsi" w:cstheme="minorBidi"/>
          <w:b/>
          <w:bCs/>
          <w:color w:val="1B75BC"/>
        </w:rPr>
        <w:t>What is the data source?</w:t>
      </w:r>
    </w:p>
    <w:p w14:paraId="1EC3E2F7" w14:textId="5D409012" w:rsidR="005EE846" w:rsidRDefault="005EE846" w:rsidP="44B23A45">
      <w:pPr>
        <w:spacing w:line="240" w:lineRule="auto"/>
        <w:rPr>
          <w:rFonts w:ascii="Calibri" w:eastAsia="Calibri" w:hAnsi="Calibri" w:cs="Calibri"/>
        </w:rPr>
      </w:pPr>
      <w:r w:rsidRPr="44B23A45">
        <w:rPr>
          <w:rFonts w:ascii="Calibri" w:eastAsia="Calibri" w:hAnsi="Calibri" w:cs="Calibri"/>
          <w:color w:val="201F1E"/>
        </w:rPr>
        <w:t xml:space="preserve">The data for this indicator comes from the December Special Education Child Count collection, specifically </w:t>
      </w:r>
      <w:r w:rsidRPr="44B23A45">
        <w:rPr>
          <w:rFonts w:ascii="Calibri" w:eastAsia="Calibri" w:hAnsi="Calibri" w:cs="Calibri"/>
          <w:color w:val="000000" w:themeColor="text1"/>
        </w:rPr>
        <w:t xml:space="preserve">in IDEA Section 618 Data in EDFacts file </w:t>
      </w:r>
      <w:hyperlink r:id="rId14">
        <w:r w:rsidRPr="44B23A45">
          <w:rPr>
            <w:rStyle w:val="Hyperlink"/>
            <w:rFonts w:ascii="Calibri" w:eastAsia="Calibri" w:hAnsi="Calibri" w:cs="Calibri"/>
          </w:rPr>
          <w:t>FS002 - Children with Disabilities (IDEA) School Age</w:t>
        </w:r>
      </w:hyperlink>
      <w:r w:rsidRPr="44B23A45">
        <w:rPr>
          <w:rFonts w:ascii="Calibri" w:eastAsia="Calibri" w:hAnsi="Calibri" w:cs="Calibri"/>
          <w:color w:val="000000" w:themeColor="text1"/>
        </w:rPr>
        <w:t xml:space="preserve"> . Data are collected annually from each school district through the Federal Placement Code information reported in the December </w:t>
      </w:r>
      <w:r w:rsidRPr="44B23A45">
        <w:rPr>
          <w:rFonts w:ascii="Calibri" w:eastAsia="Calibri" w:hAnsi="Calibri" w:cs="Calibri"/>
          <w:color w:val="000000" w:themeColor="text1"/>
        </w:rPr>
        <w:lastRenderedPageBreak/>
        <w:t>Special Education Child Count (SECC). The SECC collects data about students eligible for special education services as of December 1.</w:t>
      </w:r>
    </w:p>
    <w:p w14:paraId="1E592187" w14:textId="77777777" w:rsidR="00B40ECE" w:rsidRPr="00E77AD9" w:rsidRDefault="00B40ECE" w:rsidP="00B40ECE">
      <w:pPr>
        <w:pStyle w:val="Heading1"/>
        <w:spacing w:before="120" w:line="240" w:lineRule="auto"/>
        <w:rPr>
          <w:rFonts w:asciiTheme="minorHAnsi" w:hAnsiTheme="minorHAnsi" w:cstheme="minorBidi"/>
          <w:b/>
          <w:bCs/>
          <w:color w:val="1B75BC"/>
        </w:rPr>
      </w:pPr>
      <w:r w:rsidRPr="00E77AD9">
        <w:rPr>
          <w:rFonts w:asciiTheme="minorHAnsi" w:hAnsiTheme="minorHAnsi" w:cstheme="minorBidi"/>
          <w:b/>
          <w:bCs/>
          <w:color w:val="1B75BC"/>
        </w:rPr>
        <w:t>Does the baseline need to be set or reset for this indicator?</w:t>
      </w:r>
    </w:p>
    <w:p w14:paraId="5C67ED04" w14:textId="1613A9F6" w:rsidR="00B40ECE" w:rsidRDefault="00B40ECE" w:rsidP="00B40ECE">
      <w:pPr>
        <w:spacing w:line="240" w:lineRule="auto"/>
      </w:pPr>
      <w:r>
        <w:t xml:space="preserve">Yes, </w:t>
      </w:r>
      <w:r w:rsidR="00BD24E9">
        <w:t xml:space="preserve">the previous baseline used placement data for K-12 students aged 6-21. The current measurement requires ODE to report placement data on K-12 students aged 5-21. Therefore, </w:t>
      </w:r>
      <w:r>
        <w:t xml:space="preserve">ODE </w:t>
      </w:r>
      <w:r w:rsidR="00BD24E9">
        <w:t xml:space="preserve">must establish a new baseline for this indicator. ODE </w:t>
      </w:r>
      <w:r w:rsidR="00E77AD9">
        <w:t xml:space="preserve">proposes </w:t>
      </w:r>
      <w:r>
        <w:t>usin</w:t>
      </w:r>
      <w:r w:rsidR="00C34D83">
        <w:t>g our most recent</w:t>
      </w:r>
      <w:r>
        <w:t xml:space="preserve"> </w:t>
      </w:r>
      <w:r w:rsidR="00C34D83">
        <w:t xml:space="preserve">targets </w:t>
      </w:r>
      <w:r>
        <w:t>as a new baseline for this indicator for the FFY 2020-2025 State Performance Plan, as follows:</w:t>
      </w:r>
    </w:p>
    <w:tbl>
      <w:tblPr>
        <w:tblStyle w:val="TableGrid"/>
        <w:tblW w:w="5234" w:type="dxa"/>
        <w:jc w:val="center"/>
        <w:tblLook w:val="04A0" w:firstRow="1" w:lastRow="0" w:firstColumn="1" w:lastColumn="0" w:noHBand="0" w:noVBand="1"/>
        <w:tblCaption w:val="Proposed Baselines for Indicator 5"/>
        <w:tblDescription w:val="This table contains the proposed baseline data for Indicator 5."/>
      </w:tblPr>
      <w:tblGrid>
        <w:gridCol w:w="1308"/>
        <w:gridCol w:w="1309"/>
        <w:gridCol w:w="1308"/>
        <w:gridCol w:w="1309"/>
      </w:tblGrid>
      <w:tr w:rsidR="00B40ECE" w14:paraId="3BE9E556" w14:textId="77777777" w:rsidTr="44B23A45">
        <w:trPr>
          <w:tblHeader/>
          <w:jc w:val="center"/>
        </w:trPr>
        <w:tc>
          <w:tcPr>
            <w:tcW w:w="1308" w:type="dxa"/>
            <w:shd w:val="clear" w:color="auto" w:fill="5B9BD5" w:themeFill="accent5"/>
          </w:tcPr>
          <w:p w14:paraId="19FC9C68" w14:textId="77777777" w:rsidR="00B40ECE" w:rsidRDefault="00B40ECE" w:rsidP="00D41862">
            <w:pPr>
              <w:jc w:val="center"/>
              <w:rPr>
                <w:b/>
                <w:bCs/>
              </w:rPr>
            </w:pPr>
            <w:r>
              <w:rPr>
                <w:b/>
                <w:bCs/>
              </w:rPr>
              <w:t>Baseline</w:t>
            </w:r>
          </w:p>
        </w:tc>
        <w:tc>
          <w:tcPr>
            <w:tcW w:w="1309" w:type="dxa"/>
            <w:shd w:val="clear" w:color="auto" w:fill="5B9BD5" w:themeFill="accent5"/>
          </w:tcPr>
          <w:p w14:paraId="0B08EF1E" w14:textId="77777777" w:rsidR="00B40ECE" w:rsidRDefault="00B40ECE" w:rsidP="00D41862">
            <w:pPr>
              <w:jc w:val="center"/>
              <w:rPr>
                <w:b/>
                <w:bCs/>
              </w:rPr>
            </w:pPr>
            <w:r>
              <w:rPr>
                <w:b/>
                <w:bCs/>
              </w:rPr>
              <w:t>5A</w:t>
            </w:r>
          </w:p>
        </w:tc>
        <w:tc>
          <w:tcPr>
            <w:tcW w:w="1308" w:type="dxa"/>
            <w:shd w:val="clear" w:color="auto" w:fill="5B9BD5" w:themeFill="accent5"/>
          </w:tcPr>
          <w:p w14:paraId="70CA0140" w14:textId="77777777" w:rsidR="00B40ECE" w:rsidRDefault="00B40ECE" w:rsidP="00D41862">
            <w:pPr>
              <w:jc w:val="center"/>
              <w:rPr>
                <w:b/>
                <w:bCs/>
              </w:rPr>
            </w:pPr>
            <w:r>
              <w:rPr>
                <w:b/>
                <w:bCs/>
              </w:rPr>
              <w:t>5B</w:t>
            </w:r>
          </w:p>
        </w:tc>
        <w:tc>
          <w:tcPr>
            <w:tcW w:w="1309" w:type="dxa"/>
            <w:shd w:val="clear" w:color="auto" w:fill="5B9BD5" w:themeFill="accent5"/>
          </w:tcPr>
          <w:p w14:paraId="109EECAA" w14:textId="77777777" w:rsidR="00B40ECE" w:rsidRPr="28D2AC4E" w:rsidRDefault="00B40ECE" w:rsidP="00D41862">
            <w:pPr>
              <w:jc w:val="center"/>
              <w:rPr>
                <w:b/>
                <w:bCs/>
              </w:rPr>
            </w:pPr>
            <w:r>
              <w:rPr>
                <w:b/>
                <w:bCs/>
              </w:rPr>
              <w:t>5C</w:t>
            </w:r>
          </w:p>
        </w:tc>
      </w:tr>
      <w:tr w:rsidR="00B40ECE" w14:paraId="2A335A6B" w14:textId="77777777" w:rsidTr="44B23A45">
        <w:trPr>
          <w:jc w:val="center"/>
        </w:trPr>
        <w:tc>
          <w:tcPr>
            <w:tcW w:w="1308" w:type="dxa"/>
          </w:tcPr>
          <w:p w14:paraId="170FFB32" w14:textId="77777777" w:rsidR="00B40ECE" w:rsidRDefault="00B40ECE" w:rsidP="00D41862">
            <w:pPr>
              <w:jc w:val="center"/>
            </w:pPr>
            <w:r>
              <w:t>FFY 2019</w:t>
            </w:r>
          </w:p>
        </w:tc>
        <w:tc>
          <w:tcPr>
            <w:tcW w:w="1309" w:type="dxa"/>
          </w:tcPr>
          <w:p w14:paraId="5B2476AB" w14:textId="77777777" w:rsidR="00B40ECE" w:rsidRDefault="00B40ECE" w:rsidP="00D41862">
            <w:pPr>
              <w:jc w:val="center"/>
            </w:pPr>
            <w:r>
              <w:t>75.00%</w:t>
            </w:r>
          </w:p>
        </w:tc>
        <w:tc>
          <w:tcPr>
            <w:tcW w:w="1308" w:type="dxa"/>
          </w:tcPr>
          <w:p w14:paraId="20E95F3B" w14:textId="27BB7E1E" w:rsidR="00B40ECE" w:rsidRDefault="5A5F3C2B" w:rsidP="00D41862">
            <w:pPr>
              <w:jc w:val="center"/>
            </w:pPr>
            <w:r>
              <w:t>9.2</w:t>
            </w:r>
            <w:r w:rsidR="65A702EB">
              <w:t>5</w:t>
            </w:r>
            <w:r w:rsidR="00B40ECE">
              <w:t>%</w:t>
            </w:r>
          </w:p>
        </w:tc>
        <w:tc>
          <w:tcPr>
            <w:tcW w:w="1309" w:type="dxa"/>
          </w:tcPr>
          <w:p w14:paraId="33F71D7F" w14:textId="77777777" w:rsidR="00B40ECE" w:rsidRDefault="00B40ECE" w:rsidP="00D41862">
            <w:pPr>
              <w:jc w:val="center"/>
            </w:pPr>
            <w:r>
              <w:t>1.80%</w:t>
            </w:r>
          </w:p>
        </w:tc>
      </w:tr>
    </w:tbl>
    <w:p w14:paraId="31C3B5A6" w14:textId="088698C0" w:rsidR="00C41661" w:rsidRPr="00165294" w:rsidRDefault="4197FFC0" w:rsidP="00A448C8">
      <w:pPr>
        <w:pStyle w:val="Heading1"/>
        <w:spacing w:after="120" w:line="240" w:lineRule="auto"/>
        <w:rPr>
          <w:rFonts w:asciiTheme="minorHAnsi" w:hAnsiTheme="minorHAnsi" w:cstheme="minorBidi"/>
          <w:b/>
          <w:bCs/>
          <w:color w:val="1B75BC"/>
        </w:rPr>
      </w:pPr>
      <w:r w:rsidRPr="00165294">
        <w:rPr>
          <w:rFonts w:asciiTheme="minorHAnsi" w:hAnsiTheme="minorHAnsi" w:cstheme="minorBidi"/>
          <w:b/>
          <w:bCs/>
          <w:color w:val="1B75BC"/>
        </w:rPr>
        <w:t>H</w:t>
      </w:r>
      <w:r w:rsidR="106B2583" w:rsidRPr="00165294">
        <w:rPr>
          <w:rFonts w:asciiTheme="minorHAnsi" w:hAnsiTheme="minorHAnsi" w:cstheme="minorBidi"/>
          <w:b/>
          <w:bCs/>
          <w:color w:val="1B75BC"/>
        </w:rPr>
        <w:t>o</w:t>
      </w:r>
      <w:r w:rsidR="00C41661" w:rsidRPr="00165294">
        <w:rPr>
          <w:rFonts w:asciiTheme="minorHAnsi" w:hAnsiTheme="minorHAnsi" w:cstheme="minorBidi"/>
          <w:b/>
          <w:bCs/>
          <w:color w:val="1B75BC"/>
        </w:rPr>
        <w:t>w has Oregon performed over time?</w:t>
      </w:r>
    </w:p>
    <w:p w14:paraId="13D744B7" w14:textId="7921DAE9" w:rsidR="00B11C99" w:rsidRDefault="00D570CE" w:rsidP="00892BE5">
      <w:pPr>
        <w:pStyle w:val="ListParagraph"/>
        <w:numPr>
          <w:ilvl w:val="0"/>
          <w:numId w:val="13"/>
        </w:numPr>
        <w:spacing w:after="120" w:line="240" w:lineRule="auto"/>
        <w:contextualSpacing w:val="0"/>
      </w:pPr>
      <w:r>
        <w:t>P</w:t>
      </w:r>
      <w:r w:rsidRPr="004D196C">
        <w:t xml:space="preserve">ercent of children with IEPs aged </w:t>
      </w:r>
      <w:r w:rsidR="007B0DF0">
        <w:t>K</w:t>
      </w:r>
      <w:r w:rsidR="00C34D83">
        <w:t>5</w:t>
      </w:r>
      <w:r>
        <w:t>-</w:t>
      </w:r>
      <w:r w:rsidRPr="004D196C">
        <w:t xml:space="preserve">21 </w:t>
      </w:r>
      <w:r>
        <w:t xml:space="preserve">who are </w:t>
      </w:r>
      <w:r w:rsidRPr="004D196C">
        <w:t>served</w:t>
      </w:r>
      <w:r w:rsidRPr="000E4FA0">
        <w:t xml:space="preserve"> </w:t>
      </w:r>
      <w:r>
        <w:t>i</w:t>
      </w:r>
      <w:r w:rsidR="00CD2C98" w:rsidRPr="000E4FA0">
        <w:t>nside the regula</w:t>
      </w:r>
      <w:r>
        <w:t>r class 80% or more of the day</w:t>
      </w:r>
    </w:p>
    <w:p w14:paraId="03CCC25D" w14:textId="17591182" w:rsidR="00DA5C74" w:rsidRDefault="00665A7D" w:rsidP="00892BE5">
      <w:pPr>
        <w:pStyle w:val="ListParagraph"/>
        <w:spacing w:after="120" w:line="240" w:lineRule="auto"/>
        <w:ind w:left="360"/>
        <w:contextualSpacing w:val="0"/>
        <w:jc w:val="center"/>
      </w:pPr>
      <w:r>
        <w:rPr>
          <w:noProof/>
        </w:rPr>
        <w:drawing>
          <wp:inline distT="0" distB="0" distL="0" distR="0" wp14:anchorId="4F016CDC" wp14:editId="7236CCB5">
            <wp:extent cx="5486400" cy="2743200"/>
            <wp:effectExtent l="0" t="0" r="0" b="0"/>
            <wp:docPr id="1" name="Chart 1" title="Oregon's Indicator B5 (School Age LRE) Data Inside Regular Class 80% or More of Day (Ages K5-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tbl>
      <w:tblPr>
        <w:tblStyle w:val="TableGrid"/>
        <w:tblW w:w="0" w:type="auto"/>
        <w:tblInd w:w="535" w:type="dxa"/>
        <w:tblLook w:val="04A0" w:firstRow="1" w:lastRow="0" w:firstColumn="1" w:lastColumn="0" w:noHBand="0" w:noVBand="1"/>
        <w:tblCaption w:val="Indicator Data Table"/>
        <w:tblDescription w:val="This table shows statewide targets and actual data for Oregon for Indicator B5A."/>
      </w:tblPr>
      <w:tblGrid>
        <w:gridCol w:w="1147"/>
        <w:gridCol w:w="1148"/>
        <w:gridCol w:w="1147"/>
        <w:gridCol w:w="1148"/>
        <w:gridCol w:w="1147"/>
        <w:gridCol w:w="1148"/>
        <w:gridCol w:w="1147"/>
        <w:gridCol w:w="1148"/>
      </w:tblGrid>
      <w:tr w:rsidR="00B11C99" w14:paraId="39258389" w14:textId="77777777" w:rsidTr="00142906">
        <w:trPr>
          <w:tblHeader/>
        </w:trPr>
        <w:tc>
          <w:tcPr>
            <w:tcW w:w="1147" w:type="dxa"/>
            <w:shd w:val="clear" w:color="auto" w:fill="FFC000" w:themeFill="accent4"/>
          </w:tcPr>
          <w:p w14:paraId="3519F430" w14:textId="77694B36" w:rsidR="00B11C99" w:rsidRDefault="00B11C99" w:rsidP="00892BE5">
            <w:pPr>
              <w:pStyle w:val="ListParagraph"/>
              <w:ind w:left="0"/>
              <w:contextualSpacing w:val="0"/>
              <w:jc w:val="center"/>
            </w:pPr>
            <w:r w:rsidRPr="00B542E4">
              <w:rPr>
                <w:b/>
              </w:rPr>
              <w:t>FFY</w:t>
            </w:r>
          </w:p>
        </w:tc>
        <w:tc>
          <w:tcPr>
            <w:tcW w:w="1148" w:type="dxa"/>
            <w:shd w:val="clear" w:color="auto" w:fill="FFC000" w:themeFill="accent4"/>
          </w:tcPr>
          <w:p w14:paraId="3FB9A72F" w14:textId="1D775373" w:rsidR="00B11C99" w:rsidRDefault="00B11C99" w:rsidP="00892BE5">
            <w:pPr>
              <w:pStyle w:val="ListParagraph"/>
              <w:ind w:left="0"/>
              <w:contextualSpacing w:val="0"/>
              <w:jc w:val="center"/>
            </w:pPr>
            <w:r>
              <w:rPr>
                <w:b/>
              </w:rPr>
              <w:t>2005</w:t>
            </w:r>
          </w:p>
        </w:tc>
        <w:tc>
          <w:tcPr>
            <w:tcW w:w="1147" w:type="dxa"/>
            <w:shd w:val="clear" w:color="auto" w:fill="FFC000" w:themeFill="accent4"/>
          </w:tcPr>
          <w:p w14:paraId="504F966E" w14:textId="05C92DEF" w:rsidR="00B11C99" w:rsidRDefault="00B11C99" w:rsidP="00892BE5">
            <w:pPr>
              <w:pStyle w:val="ListParagraph"/>
              <w:ind w:left="0"/>
              <w:contextualSpacing w:val="0"/>
              <w:jc w:val="center"/>
            </w:pPr>
            <w:r w:rsidRPr="00B542E4">
              <w:rPr>
                <w:b/>
              </w:rPr>
              <w:t>2014</w:t>
            </w:r>
          </w:p>
        </w:tc>
        <w:tc>
          <w:tcPr>
            <w:tcW w:w="1148" w:type="dxa"/>
            <w:shd w:val="clear" w:color="auto" w:fill="FFC000" w:themeFill="accent4"/>
          </w:tcPr>
          <w:p w14:paraId="184AEA6E" w14:textId="11F3E46C" w:rsidR="00B11C99" w:rsidRDefault="00B11C99" w:rsidP="00892BE5">
            <w:pPr>
              <w:pStyle w:val="ListParagraph"/>
              <w:ind w:left="0"/>
              <w:contextualSpacing w:val="0"/>
              <w:jc w:val="center"/>
            </w:pPr>
            <w:r w:rsidRPr="00B542E4">
              <w:rPr>
                <w:b/>
              </w:rPr>
              <w:t>2015</w:t>
            </w:r>
          </w:p>
        </w:tc>
        <w:tc>
          <w:tcPr>
            <w:tcW w:w="1147" w:type="dxa"/>
            <w:shd w:val="clear" w:color="auto" w:fill="FFC000" w:themeFill="accent4"/>
          </w:tcPr>
          <w:p w14:paraId="0D104A17" w14:textId="548EB85C" w:rsidR="00B11C99" w:rsidRDefault="00B11C99" w:rsidP="00892BE5">
            <w:pPr>
              <w:pStyle w:val="ListParagraph"/>
              <w:ind w:left="0"/>
              <w:contextualSpacing w:val="0"/>
              <w:jc w:val="center"/>
            </w:pPr>
            <w:r w:rsidRPr="00B542E4">
              <w:rPr>
                <w:b/>
              </w:rPr>
              <w:t>2016</w:t>
            </w:r>
          </w:p>
        </w:tc>
        <w:tc>
          <w:tcPr>
            <w:tcW w:w="1148" w:type="dxa"/>
            <w:shd w:val="clear" w:color="auto" w:fill="FFC000" w:themeFill="accent4"/>
          </w:tcPr>
          <w:p w14:paraId="44F71CD0" w14:textId="024372F3" w:rsidR="00B11C99" w:rsidRDefault="00B11C99" w:rsidP="00892BE5">
            <w:pPr>
              <w:pStyle w:val="ListParagraph"/>
              <w:ind w:left="0"/>
              <w:contextualSpacing w:val="0"/>
              <w:jc w:val="center"/>
            </w:pPr>
            <w:r w:rsidRPr="00B542E4">
              <w:rPr>
                <w:b/>
              </w:rPr>
              <w:t>2017</w:t>
            </w:r>
          </w:p>
        </w:tc>
        <w:tc>
          <w:tcPr>
            <w:tcW w:w="1147" w:type="dxa"/>
            <w:shd w:val="clear" w:color="auto" w:fill="FFC000" w:themeFill="accent4"/>
          </w:tcPr>
          <w:p w14:paraId="571923D7" w14:textId="709D795D" w:rsidR="00B11C99" w:rsidRDefault="00B11C99" w:rsidP="00892BE5">
            <w:pPr>
              <w:pStyle w:val="ListParagraph"/>
              <w:ind w:left="0"/>
              <w:contextualSpacing w:val="0"/>
              <w:jc w:val="center"/>
            </w:pPr>
            <w:r w:rsidRPr="00B542E4">
              <w:rPr>
                <w:b/>
              </w:rPr>
              <w:t>2018</w:t>
            </w:r>
          </w:p>
        </w:tc>
        <w:tc>
          <w:tcPr>
            <w:tcW w:w="1148" w:type="dxa"/>
            <w:shd w:val="clear" w:color="auto" w:fill="FFC000" w:themeFill="accent4"/>
          </w:tcPr>
          <w:p w14:paraId="7A80C57F" w14:textId="6445E19E" w:rsidR="00B11C99" w:rsidRDefault="00B11C99" w:rsidP="00892BE5">
            <w:pPr>
              <w:pStyle w:val="ListParagraph"/>
              <w:ind w:left="0"/>
              <w:contextualSpacing w:val="0"/>
              <w:jc w:val="center"/>
            </w:pPr>
            <w:r w:rsidRPr="21770B4B">
              <w:rPr>
                <w:b/>
                <w:bCs/>
              </w:rPr>
              <w:t>2019</w:t>
            </w:r>
          </w:p>
        </w:tc>
      </w:tr>
      <w:tr w:rsidR="00B11C99" w14:paraId="12D2EE46" w14:textId="77777777" w:rsidTr="00624234">
        <w:tc>
          <w:tcPr>
            <w:tcW w:w="1147" w:type="dxa"/>
          </w:tcPr>
          <w:p w14:paraId="6F33F5E9" w14:textId="67ED4C7A" w:rsidR="00B11C99" w:rsidRDefault="00B11C99" w:rsidP="00892BE5">
            <w:pPr>
              <w:pStyle w:val="ListParagraph"/>
              <w:ind w:left="0"/>
              <w:contextualSpacing w:val="0"/>
              <w:jc w:val="center"/>
            </w:pPr>
            <w:r>
              <w:t xml:space="preserve">Target </w:t>
            </w:r>
            <w:r>
              <w:rPr>
                <w:rFonts w:cstheme="minorHAnsi"/>
              </w:rPr>
              <w:t>≥</w:t>
            </w:r>
          </w:p>
        </w:tc>
        <w:tc>
          <w:tcPr>
            <w:tcW w:w="1148" w:type="dxa"/>
          </w:tcPr>
          <w:p w14:paraId="376DCF00" w14:textId="159BDB9C" w:rsidR="00B11C99" w:rsidRDefault="00B11C99" w:rsidP="00892BE5">
            <w:pPr>
              <w:pStyle w:val="ListParagraph"/>
              <w:ind w:left="0"/>
              <w:contextualSpacing w:val="0"/>
              <w:jc w:val="center"/>
            </w:pPr>
            <w:r w:rsidRPr="00373050">
              <w:rPr>
                <w:i/>
              </w:rPr>
              <w:t>Baseline</w:t>
            </w:r>
          </w:p>
        </w:tc>
        <w:tc>
          <w:tcPr>
            <w:tcW w:w="1147" w:type="dxa"/>
            <w:tcBorders>
              <w:top w:val="single" w:sz="4" w:space="0" w:color="auto"/>
              <w:left w:val="single" w:sz="4" w:space="0" w:color="auto"/>
              <w:bottom w:val="single" w:sz="4" w:space="0" w:color="auto"/>
              <w:right w:val="single" w:sz="4" w:space="0" w:color="auto"/>
            </w:tcBorders>
            <w:shd w:val="clear" w:color="auto" w:fill="auto"/>
          </w:tcPr>
          <w:p w14:paraId="0AAB0773" w14:textId="1744A9BE" w:rsidR="00B11C99" w:rsidRDefault="00B11C99" w:rsidP="00892BE5">
            <w:pPr>
              <w:pStyle w:val="ListParagraph"/>
              <w:ind w:left="0"/>
              <w:contextualSpacing w:val="0"/>
              <w:jc w:val="center"/>
            </w:pPr>
            <w:r w:rsidRPr="005C29F8">
              <w:rPr>
                <w:rFonts w:cs="Arial"/>
                <w:color w:val="000000" w:themeColor="text1"/>
                <w:szCs w:val="16"/>
              </w:rPr>
              <w:t>72.00%</w:t>
            </w:r>
          </w:p>
        </w:tc>
        <w:tc>
          <w:tcPr>
            <w:tcW w:w="1148" w:type="dxa"/>
            <w:tcBorders>
              <w:top w:val="single" w:sz="4" w:space="0" w:color="auto"/>
              <w:left w:val="single" w:sz="4" w:space="0" w:color="auto"/>
              <w:bottom w:val="single" w:sz="4" w:space="0" w:color="auto"/>
              <w:right w:val="single" w:sz="4" w:space="0" w:color="auto"/>
            </w:tcBorders>
            <w:shd w:val="clear" w:color="auto" w:fill="auto"/>
          </w:tcPr>
          <w:p w14:paraId="5E496F16" w14:textId="4030AF19" w:rsidR="00B11C99" w:rsidRDefault="00B11C99" w:rsidP="00892BE5">
            <w:pPr>
              <w:pStyle w:val="ListParagraph"/>
              <w:ind w:left="0"/>
              <w:contextualSpacing w:val="0"/>
              <w:jc w:val="center"/>
            </w:pPr>
            <w:r w:rsidRPr="005C29F8">
              <w:rPr>
                <w:rFonts w:cs="Arial"/>
                <w:color w:val="000000" w:themeColor="text1"/>
                <w:szCs w:val="16"/>
              </w:rPr>
              <w:t>72.00%</w:t>
            </w:r>
          </w:p>
        </w:tc>
        <w:tc>
          <w:tcPr>
            <w:tcW w:w="1147" w:type="dxa"/>
            <w:tcBorders>
              <w:top w:val="single" w:sz="4" w:space="0" w:color="auto"/>
              <w:left w:val="single" w:sz="4" w:space="0" w:color="auto"/>
              <w:bottom w:val="single" w:sz="4" w:space="0" w:color="auto"/>
              <w:right w:val="single" w:sz="4" w:space="0" w:color="auto"/>
            </w:tcBorders>
            <w:shd w:val="clear" w:color="auto" w:fill="auto"/>
          </w:tcPr>
          <w:p w14:paraId="4237948E" w14:textId="26BA1A17" w:rsidR="00B11C99" w:rsidRDefault="00B11C99" w:rsidP="00892BE5">
            <w:pPr>
              <w:pStyle w:val="ListParagraph"/>
              <w:ind w:left="0"/>
              <w:contextualSpacing w:val="0"/>
              <w:jc w:val="center"/>
            </w:pPr>
            <w:r w:rsidRPr="005C29F8">
              <w:rPr>
                <w:rFonts w:cs="Arial"/>
                <w:color w:val="000000" w:themeColor="text1"/>
                <w:szCs w:val="16"/>
              </w:rPr>
              <w:t>72.00%</w:t>
            </w:r>
          </w:p>
        </w:tc>
        <w:tc>
          <w:tcPr>
            <w:tcW w:w="1148" w:type="dxa"/>
            <w:tcBorders>
              <w:top w:val="single" w:sz="4" w:space="0" w:color="auto"/>
              <w:left w:val="single" w:sz="4" w:space="0" w:color="auto"/>
              <w:bottom w:val="single" w:sz="4" w:space="0" w:color="auto"/>
              <w:right w:val="single" w:sz="4" w:space="0" w:color="auto"/>
            </w:tcBorders>
            <w:shd w:val="clear" w:color="auto" w:fill="auto"/>
          </w:tcPr>
          <w:p w14:paraId="694AE533" w14:textId="4C87AD2F" w:rsidR="00B11C99" w:rsidRDefault="00B11C99" w:rsidP="00892BE5">
            <w:pPr>
              <w:pStyle w:val="ListParagraph"/>
              <w:ind w:left="0"/>
              <w:contextualSpacing w:val="0"/>
              <w:jc w:val="center"/>
            </w:pPr>
            <w:r w:rsidRPr="005C29F8">
              <w:rPr>
                <w:rFonts w:cs="Arial"/>
                <w:color w:val="000000" w:themeColor="text1"/>
                <w:szCs w:val="16"/>
              </w:rPr>
              <w:t>73.00%</w:t>
            </w:r>
          </w:p>
        </w:tc>
        <w:tc>
          <w:tcPr>
            <w:tcW w:w="1147" w:type="dxa"/>
            <w:tcBorders>
              <w:top w:val="single" w:sz="4" w:space="0" w:color="auto"/>
              <w:left w:val="single" w:sz="4" w:space="0" w:color="auto"/>
              <w:bottom w:val="single" w:sz="4" w:space="0" w:color="auto"/>
              <w:right w:val="single" w:sz="4" w:space="0" w:color="auto"/>
            </w:tcBorders>
            <w:shd w:val="clear" w:color="auto" w:fill="auto"/>
          </w:tcPr>
          <w:p w14:paraId="7947B8A8" w14:textId="0C0BD332" w:rsidR="00B11C99" w:rsidRDefault="00B11C99" w:rsidP="00892BE5">
            <w:pPr>
              <w:pStyle w:val="ListParagraph"/>
              <w:ind w:left="0"/>
              <w:contextualSpacing w:val="0"/>
              <w:jc w:val="center"/>
            </w:pPr>
            <w:r w:rsidRPr="005C29F8">
              <w:rPr>
                <w:rFonts w:cs="Arial"/>
                <w:color w:val="000000" w:themeColor="text1"/>
                <w:szCs w:val="16"/>
              </w:rPr>
              <w:t>73.00%</w:t>
            </w:r>
          </w:p>
        </w:tc>
        <w:tc>
          <w:tcPr>
            <w:tcW w:w="1148" w:type="dxa"/>
            <w:tcBorders>
              <w:top w:val="single" w:sz="4" w:space="0" w:color="auto"/>
              <w:left w:val="single" w:sz="4" w:space="0" w:color="auto"/>
              <w:bottom w:val="single" w:sz="4" w:space="0" w:color="auto"/>
              <w:right w:val="single" w:sz="4" w:space="0" w:color="auto"/>
            </w:tcBorders>
            <w:shd w:val="clear" w:color="auto" w:fill="auto"/>
          </w:tcPr>
          <w:p w14:paraId="4F83EAC9" w14:textId="3CB1E6F4" w:rsidR="00B11C99" w:rsidRDefault="00B11C99" w:rsidP="00892BE5">
            <w:pPr>
              <w:pStyle w:val="ListParagraph"/>
              <w:ind w:left="0"/>
              <w:contextualSpacing w:val="0"/>
              <w:jc w:val="center"/>
            </w:pPr>
            <w:r w:rsidRPr="4191B4F3">
              <w:rPr>
                <w:rFonts w:eastAsiaTheme="minorEastAsia"/>
                <w:color w:val="000000" w:themeColor="text1"/>
              </w:rPr>
              <w:t>75.00%</w:t>
            </w:r>
          </w:p>
        </w:tc>
      </w:tr>
    </w:tbl>
    <w:p w14:paraId="77F96CA5" w14:textId="5A44C826" w:rsidR="00CD2C98" w:rsidRDefault="00D570CE" w:rsidP="00892BE5">
      <w:pPr>
        <w:pStyle w:val="ListParagraph"/>
        <w:numPr>
          <w:ilvl w:val="0"/>
          <w:numId w:val="13"/>
        </w:numPr>
        <w:spacing w:before="120" w:after="120" w:line="240" w:lineRule="auto"/>
        <w:contextualSpacing w:val="0"/>
      </w:pPr>
      <w:r>
        <w:t>P</w:t>
      </w:r>
      <w:r w:rsidRPr="004D196C">
        <w:t xml:space="preserve">ercent of children with IEPs aged </w:t>
      </w:r>
      <w:r w:rsidR="007B0DF0">
        <w:t>K</w:t>
      </w:r>
      <w:r w:rsidR="00C34D83">
        <w:t>5</w:t>
      </w:r>
      <w:r>
        <w:t>-</w:t>
      </w:r>
      <w:r w:rsidRPr="004D196C">
        <w:t xml:space="preserve">21 </w:t>
      </w:r>
      <w:r>
        <w:t xml:space="preserve">who are </w:t>
      </w:r>
      <w:r w:rsidRPr="004D196C">
        <w:t>served</w:t>
      </w:r>
      <w:r w:rsidRPr="000E4FA0">
        <w:t xml:space="preserve"> </w:t>
      </w:r>
      <w:r>
        <w:t>i</w:t>
      </w:r>
      <w:r w:rsidR="00CD2C98" w:rsidRPr="000E4FA0">
        <w:t>nside the regular clas</w:t>
      </w:r>
      <w:r>
        <w:t>s less than 40% of the day</w:t>
      </w:r>
    </w:p>
    <w:p w14:paraId="190C40F0" w14:textId="01D2A016" w:rsidR="00CC7930" w:rsidRDefault="00665A7D" w:rsidP="00892BE5">
      <w:pPr>
        <w:pStyle w:val="ListParagraph"/>
        <w:spacing w:after="120" w:line="240" w:lineRule="auto"/>
        <w:ind w:left="360"/>
        <w:contextualSpacing w:val="0"/>
        <w:jc w:val="center"/>
      </w:pPr>
      <w:r>
        <w:rPr>
          <w:noProof/>
        </w:rPr>
        <w:drawing>
          <wp:inline distT="0" distB="0" distL="0" distR="0" wp14:anchorId="08540BC4" wp14:editId="57F1CA00">
            <wp:extent cx="5486400" cy="2743200"/>
            <wp:effectExtent l="0" t="0" r="0" b="0"/>
            <wp:docPr id="4" name="Chart 4" title="Oregon's Indicator B5 (School Age LRE) Data Inside Regular Class Less Than 40% of Day (Ages K5-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tbl>
      <w:tblPr>
        <w:tblStyle w:val="TableGrid"/>
        <w:tblW w:w="0" w:type="auto"/>
        <w:tblInd w:w="535" w:type="dxa"/>
        <w:tblLook w:val="04A0" w:firstRow="1" w:lastRow="0" w:firstColumn="1" w:lastColumn="0" w:noHBand="0" w:noVBand="1"/>
        <w:tblCaption w:val="Indicator Data Table"/>
        <w:tblDescription w:val="This table shows statewide targets and actual data for Oregon for Indicator B5B."/>
      </w:tblPr>
      <w:tblGrid>
        <w:gridCol w:w="1147"/>
        <w:gridCol w:w="1148"/>
        <w:gridCol w:w="1147"/>
        <w:gridCol w:w="1148"/>
        <w:gridCol w:w="1147"/>
        <w:gridCol w:w="1148"/>
        <w:gridCol w:w="1147"/>
        <w:gridCol w:w="1148"/>
      </w:tblGrid>
      <w:tr w:rsidR="00892BE5" w14:paraId="3CAB1A6A" w14:textId="77777777" w:rsidTr="00142906">
        <w:trPr>
          <w:tblHeader/>
        </w:trPr>
        <w:tc>
          <w:tcPr>
            <w:tcW w:w="1147" w:type="dxa"/>
            <w:shd w:val="clear" w:color="auto" w:fill="ED7D31" w:themeFill="accent2"/>
          </w:tcPr>
          <w:p w14:paraId="70B56E66" w14:textId="51A248B6" w:rsidR="00892BE5" w:rsidRDefault="00892BE5" w:rsidP="00892BE5">
            <w:pPr>
              <w:pStyle w:val="ListParagraph"/>
              <w:ind w:left="0"/>
              <w:contextualSpacing w:val="0"/>
              <w:jc w:val="center"/>
            </w:pPr>
            <w:r w:rsidRPr="00B542E4">
              <w:rPr>
                <w:b/>
              </w:rPr>
              <w:lastRenderedPageBreak/>
              <w:t>FFY</w:t>
            </w:r>
          </w:p>
        </w:tc>
        <w:tc>
          <w:tcPr>
            <w:tcW w:w="1148" w:type="dxa"/>
            <w:shd w:val="clear" w:color="auto" w:fill="ED7D31" w:themeFill="accent2"/>
          </w:tcPr>
          <w:p w14:paraId="7B5934D7" w14:textId="0E3904F0" w:rsidR="00892BE5" w:rsidRDefault="00892BE5" w:rsidP="00892BE5">
            <w:pPr>
              <w:pStyle w:val="ListParagraph"/>
              <w:ind w:left="0"/>
              <w:contextualSpacing w:val="0"/>
              <w:jc w:val="center"/>
            </w:pPr>
            <w:r>
              <w:rPr>
                <w:b/>
              </w:rPr>
              <w:t>2005</w:t>
            </w:r>
          </w:p>
        </w:tc>
        <w:tc>
          <w:tcPr>
            <w:tcW w:w="1147" w:type="dxa"/>
            <w:shd w:val="clear" w:color="auto" w:fill="ED7D31" w:themeFill="accent2"/>
          </w:tcPr>
          <w:p w14:paraId="284D0AA0" w14:textId="724CC27F" w:rsidR="00892BE5" w:rsidRDefault="00892BE5" w:rsidP="00892BE5">
            <w:pPr>
              <w:pStyle w:val="ListParagraph"/>
              <w:ind w:left="0"/>
              <w:contextualSpacing w:val="0"/>
              <w:jc w:val="center"/>
            </w:pPr>
            <w:r w:rsidRPr="00B542E4">
              <w:rPr>
                <w:b/>
              </w:rPr>
              <w:t>2014</w:t>
            </w:r>
          </w:p>
        </w:tc>
        <w:tc>
          <w:tcPr>
            <w:tcW w:w="1148" w:type="dxa"/>
            <w:shd w:val="clear" w:color="auto" w:fill="ED7D31" w:themeFill="accent2"/>
          </w:tcPr>
          <w:p w14:paraId="2E9D72F8" w14:textId="5F624A3B" w:rsidR="00892BE5" w:rsidRDefault="00892BE5" w:rsidP="00892BE5">
            <w:pPr>
              <w:pStyle w:val="ListParagraph"/>
              <w:ind w:left="0"/>
              <w:contextualSpacing w:val="0"/>
              <w:jc w:val="center"/>
            </w:pPr>
            <w:r w:rsidRPr="00B542E4">
              <w:rPr>
                <w:b/>
              </w:rPr>
              <w:t>2015</w:t>
            </w:r>
          </w:p>
        </w:tc>
        <w:tc>
          <w:tcPr>
            <w:tcW w:w="1147" w:type="dxa"/>
            <w:shd w:val="clear" w:color="auto" w:fill="ED7D31" w:themeFill="accent2"/>
          </w:tcPr>
          <w:p w14:paraId="69505B93" w14:textId="54A81AA1" w:rsidR="00892BE5" w:rsidRDefault="00892BE5" w:rsidP="00892BE5">
            <w:pPr>
              <w:pStyle w:val="ListParagraph"/>
              <w:ind w:left="0"/>
              <w:contextualSpacing w:val="0"/>
              <w:jc w:val="center"/>
            </w:pPr>
            <w:r w:rsidRPr="00B542E4">
              <w:rPr>
                <w:b/>
              </w:rPr>
              <w:t>2016</w:t>
            </w:r>
          </w:p>
        </w:tc>
        <w:tc>
          <w:tcPr>
            <w:tcW w:w="1148" w:type="dxa"/>
            <w:shd w:val="clear" w:color="auto" w:fill="ED7D31" w:themeFill="accent2"/>
          </w:tcPr>
          <w:p w14:paraId="4AD5FB2E" w14:textId="6C5FD4DE" w:rsidR="00892BE5" w:rsidRDefault="00892BE5" w:rsidP="00892BE5">
            <w:pPr>
              <w:pStyle w:val="ListParagraph"/>
              <w:ind w:left="0"/>
              <w:contextualSpacing w:val="0"/>
              <w:jc w:val="center"/>
            </w:pPr>
            <w:r w:rsidRPr="00B542E4">
              <w:rPr>
                <w:b/>
              </w:rPr>
              <w:t>2017</w:t>
            </w:r>
          </w:p>
        </w:tc>
        <w:tc>
          <w:tcPr>
            <w:tcW w:w="1147" w:type="dxa"/>
            <w:shd w:val="clear" w:color="auto" w:fill="ED7D31" w:themeFill="accent2"/>
          </w:tcPr>
          <w:p w14:paraId="0E11F951" w14:textId="5AF28F15" w:rsidR="00892BE5" w:rsidRDefault="00892BE5" w:rsidP="00892BE5">
            <w:pPr>
              <w:pStyle w:val="ListParagraph"/>
              <w:ind w:left="0"/>
              <w:contextualSpacing w:val="0"/>
              <w:jc w:val="center"/>
            </w:pPr>
            <w:r w:rsidRPr="00B542E4">
              <w:rPr>
                <w:b/>
              </w:rPr>
              <w:t>2018</w:t>
            </w:r>
          </w:p>
        </w:tc>
        <w:tc>
          <w:tcPr>
            <w:tcW w:w="1148" w:type="dxa"/>
            <w:shd w:val="clear" w:color="auto" w:fill="ED7D31" w:themeFill="accent2"/>
          </w:tcPr>
          <w:p w14:paraId="62965797" w14:textId="7F8837D6" w:rsidR="00892BE5" w:rsidRDefault="00892BE5" w:rsidP="00892BE5">
            <w:pPr>
              <w:pStyle w:val="ListParagraph"/>
              <w:ind w:left="0"/>
              <w:contextualSpacing w:val="0"/>
              <w:jc w:val="center"/>
            </w:pPr>
            <w:r w:rsidRPr="21770B4B">
              <w:rPr>
                <w:b/>
                <w:bCs/>
              </w:rPr>
              <w:t>2019</w:t>
            </w:r>
          </w:p>
        </w:tc>
      </w:tr>
      <w:tr w:rsidR="00892BE5" w14:paraId="0BC7059F" w14:textId="77777777" w:rsidTr="00CA3BBE">
        <w:tc>
          <w:tcPr>
            <w:tcW w:w="1147" w:type="dxa"/>
          </w:tcPr>
          <w:p w14:paraId="0B213731" w14:textId="65FAD937" w:rsidR="00892BE5" w:rsidRDefault="00892BE5" w:rsidP="00892BE5">
            <w:pPr>
              <w:pStyle w:val="ListParagraph"/>
              <w:ind w:left="0"/>
              <w:contextualSpacing w:val="0"/>
              <w:jc w:val="center"/>
            </w:pPr>
            <w:r>
              <w:t xml:space="preserve">Target </w:t>
            </w:r>
            <w:r>
              <w:rPr>
                <w:rFonts w:cstheme="minorHAnsi"/>
              </w:rPr>
              <w:t>≤</w:t>
            </w:r>
          </w:p>
        </w:tc>
        <w:tc>
          <w:tcPr>
            <w:tcW w:w="1148" w:type="dxa"/>
          </w:tcPr>
          <w:p w14:paraId="144F0EBF" w14:textId="4049105D" w:rsidR="00892BE5" w:rsidRDefault="00892BE5" w:rsidP="00892BE5">
            <w:pPr>
              <w:pStyle w:val="ListParagraph"/>
              <w:ind w:left="0"/>
              <w:contextualSpacing w:val="0"/>
              <w:jc w:val="center"/>
            </w:pPr>
            <w:r w:rsidRPr="00373050">
              <w:rPr>
                <w:i/>
              </w:rPr>
              <w:t>Baseline</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14:paraId="37F574DA" w14:textId="482B3D90" w:rsidR="00892BE5" w:rsidRDefault="00892BE5" w:rsidP="00892BE5">
            <w:pPr>
              <w:pStyle w:val="ListParagraph"/>
              <w:ind w:left="0"/>
              <w:contextualSpacing w:val="0"/>
              <w:jc w:val="center"/>
            </w:pPr>
            <w:r w:rsidRPr="005C29F8">
              <w:rPr>
                <w:rFonts w:cs="Arial"/>
                <w:color w:val="000000" w:themeColor="text1"/>
                <w:szCs w:val="16"/>
              </w:rPr>
              <w:t>10.80%</w:t>
            </w: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14:paraId="5E90A343" w14:textId="2DA210CC" w:rsidR="00892BE5" w:rsidRDefault="00892BE5" w:rsidP="00892BE5">
            <w:pPr>
              <w:pStyle w:val="ListParagraph"/>
              <w:ind w:left="0"/>
              <w:contextualSpacing w:val="0"/>
              <w:jc w:val="center"/>
            </w:pPr>
            <w:r w:rsidRPr="005C29F8">
              <w:rPr>
                <w:rFonts w:cs="Arial"/>
                <w:color w:val="000000" w:themeColor="text1"/>
                <w:szCs w:val="16"/>
              </w:rPr>
              <w:t>10.70%</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14:paraId="6DD439E6" w14:textId="521936CA" w:rsidR="00892BE5" w:rsidRDefault="00892BE5" w:rsidP="00892BE5">
            <w:pPr>
              <w:pStyle w:val="ListParagraph"/>
              <w:ind w:left="0"/>
              <w:contextualSpacing w:val="0"/>
              <w:jc w:val="center"/>
            </w:pPr>
            <w:r w:rsidRPr="005C29F8">
              <w:rPr>
                <w:rFonts w:cs="Arial"/>
                <w:color w:val="000000" w:themeColor="text1"/>
                <w:szCs w:val="16"/>
              </w:rPr>
              <w:t>10.70%</w:t>
            </w: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14:paraId="01BE105D" w14:textId="3F560A9C" w:rsidR="00892BE5" w:rsidRDefault="00892BE5" w:rsidP="00892BE5">
            <w:pPr>
              <w:pStyle w:val="ListParagraph"/>
              <w:ind w:left="0"/>
              <w:contextualSpacing w:val="0"/>
              <w:jc w:val="center"/>
            </w:pPr>
            <w:r w:rsidRPr="005C29F8">
              <w:rPr>
                <w:rFonts w:cs="Arial"/>
                <w:color w:val="000000" w:themeColor="text1"/>
                <w:szCs w:val="16"/>
              </w:rPr>
              <w:t>10.60%</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14:paraId="73867129" w14:textId="0C684FB1" w:rsidR="00892BE5" w:rsidRDefault="00892BE5" w:rsidP="00892BE5">
            <w:pPr>
              <w:pStyle w:val="ListParagraph"/>
              <w:ind w:left="0"/>
              <w:contextualSpacing w:val="0"/>
              <w:jc w:val="center"/>
            </w:pPr>
            <w:r w:rsidRPr="005C29F8">
              <w:rPr>
                <w:rFonts w:cs="Arial"/>
                <w:color w:val="000000" w:themeColor="text1"/>
                <w:szCs w:val="16"/>
              </w:rPr>
              <w:t>10.60%</w:t>
            </w: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14:paraId="07B026A4" w14:textId="79FA1867" w:rsidR="00892BE5" w:rsidRDefault="00892BE5" w:rsidP="00892BE5">
            <w:pPr>
              <w:pStyle w:val="ListParagraph"/>
              <w:ind w:left="0"/>
              <w:contextualSpacing w:val="0"/>
              <w:jc w:val="center"/>
            </w:pPr>
            <w:r w:rsidRPr="4191B4F3">
              <w:rPr>
                <w:rFonts w:eastAsiaTheme="minorEastAsia"/>
                <w:color w:val="000000" w:themeColor="text1"/>
              </w:rPr>
              <w:t>10.60%</w:t>
            </w:r>
          </w:p>
        </w:tc>
      </w:tr>
    </w:tbl>
    <w:p w14:paraId="36C9E955" w14:textId="6BECA69C" w:rsidR="00CD2C98" w:rsidRDefault="00D570CE" w:rsidP="00892BE5">
      <w:pPr>
        <w:pStyle w:val="ListParagraph"/>
        <w:numPr>
          <w:ilvl w:val="0"/>
          <w:numId w:val="13"/>
        </w:numPr>
        <w:spacing w:after="120" w:line="240" w:lineRule="auto"/>
        <w:contextualSpacing w:val="0"/>
      </w:pPr>
      <w:r>
        <w:t>P</w:t>
      </w:r>
      <w:r w:rsidRPr="004D196C">
        <w:t xml:space="preserve">ercent of children with IEPs aged </w:t>
      </w:r>
      <w:r w:rsidR="007B0DF0">
        <w:t>K</w:t>
      </w:r>
      <w:r w:rsidR="00C34D83">
        <w:t>5</w:t>
      </w:r>
      <w:r>
        <w:t>-</w:t>
      </w:r>
      <w:r w:rsidRPr="004D196C">
        <w:t xml:space="preserve">21 </w:t>
      </w:r>
      <w:r>
        <w:t xml:space="preserve">who are </w:t>
      </w:r>
      <w:r w:rsidRPr="004D196C">
        <w:t>served</w:t>
      </w:r>
      <w:r w:rsidRPr="000E4FA0">
        <w:t xml:space="preserve"> </w:t>
      </w:r>
      <w:r>
        <w:t>i</w:t>
      </w:r>
      <w:r w:rsidR="00CD2C98" w:rsidRPr="000E4FA0">
        <w:t xml:space="preserve">n separate schools, residential facilities, or </w:t>
      </w:r>
      <w:r w:rsidR="00CC7930">
        <w:t>homebound/hospital placements</w:t>
      </w:r>
    </w:p>
    <w:p w14:paraId="3D9E301D" w14:textId="5C544034" w:rsidR="00FA3257" w:rsidRPr="000E4FA0" w:rsidRDefault="00665A7D" w:rsidP="00FA3257">
      <w:pPr>
        <w:spacing w:after="120" w:line="240" w:lineRule="auto"/>
        <w:jc w:val="center"/>
      </w:pPr>
      <w:bookmarkStart w:id="0" w:name="_GoBack"/>
      <w:r>
        <w:rPr>
          <w:noProof/>
        </w:rPr>
        <w:drawing>
          <wp:inline distT="0" distB="0" distL="0" distR="0" wp14:anchorId="272FE9FA" wp14:editId="25AA97D3">
            <wp:extent cx="5486400" cy="2743200"/>
            <wp:effectExtent l="0" t="0" r="0" b="0"/>
            <wp:docPr id="5" name="Chart 5" title="Oregon's Indicator B5 (School Age LRE) Data In Separate Schools, Residential Facilities, or Homebound/Hospital (Ages K5-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bookmarkEnd w:id="0"/>
    </w:p>
    <w:tbl>
      <w:tblPr>
        <w:tblStyle w:val="TableGrid"/>
        <w:tblW w:w="9223" w:type="dxa"/>
        <w:jc w:val="center"/>
        <w:tblLook w:val="04A0" w:firstRow="1" w:lastRow="0" w:firstColumn="1" w:lastColumn="0" w:noHBand="0" w:noVBand="1"/>
        <w:tblCaption w:val="Indicator Data Table"/>
        <w:tblDescription w:val="This table shows statewide targets and actual data for Oregon for Indicator B5C."/>
      </w:tblPr>
      <w:tblGrid>
        <w:gridCol w:w="1152"/>
        <w:gridCol w:w="1153"/>
        <w:gridCol w:w="1153"/>
        <w:gridCol w:w="1153"/>
        <w:gridCol w:w="1153"/>
        <w:gridCol w:w="1153"/>
        <w:gridCol w:w="1153"/>
        <w:gridCol w:w="1153"/>
      </w:tblGrid>
      <w:tr w:rsidR="00551272" w:rsidRPr="00B542E4" w14:paraId="72DFE977" w14:textId="77777777" w:rsidTr="00142906">
        <w:trPr>
          <w:tblHeader/>
          <w:jc w:val="center"/>
        </w:trPr>
        <w:tc>
          <w:tcPr>
            <w:tcW w:w="1152" w:type="dxa"/>
            <w:shd w:val="clear" w:color="auto" w:fill="A5A5A5" w:themeFill="accent3"/>
          </w:tcPr>
          <w:p w14:paraId="586CEB51" w14:textId="6AEB8F39" w:rsidR="00551272" w:rsidRPr="00B542E4" w:rsidRDefault="00551272" w:rsidP="00FA3257">
            <w:pPr>
              <w:jc w:val="center"/>
              <w:rPr>
                <w:b/>
              </w:rPr>
            </w:pPr>
            <w:r w:rsidRPr="00B542E4">
              <w:rPr>
                <w:b/>
              </w:rPr>
              <w:t>FFY</w:t>
            </w:r>
          </w:p>
        </w:tc>
        <w:tc>
          <w:tcPr>
            <w:tcW w:w="1153" w:type="dxa"/>
            <w:shd w:val="clear" w:color="auto" w:fill="A5A5A5" w:themeFill="accent3"/>
          </w:tcPr>
          <w:p w14:paraId="658C6B19" w14:textId="2FFE162E" w:rsidR="00551272" w:rsidRPr="00B542E4" w:rsidRDefault="00686AA4" w:rsidP="00892BE5">
            <w:pPr>
              <w:jc w:val="center"/>
              <w:rPr>
                <w:b/>
              </w:rPr>
            </w:pPr>
            <w:r>
              <w:rPr>
                <w:b/>
              </w:rPr>
              <w:t>2005</w:t>
            </w:r>
          </w:p>
        </w:tc>
        <w:tc>
          <w:tcPr>
            <w:tcW w:w="1153" w:type="dxa"/>
            <w:shd w:val="clear" w:color="auto" w:fill="A5A5A5" w:themeFill="accent3"/>
          </w:tcPr>
          <w:p w14:paraId="56F594C4" w14:textId="7194A6AA" w:rsidR="00551272" w:rsidRPr="00B542E4" w:rsidRDefault="00551272" w:rsidP="00892BE5">
            <w:pPr>
              <w:jc w:val="center"/>
              <w:rPr>
                <w:b/>
              </w:rPr>
            </w:pPr>
            <w:r w:rsidRPr="00B542E4">
              <w:rPr>
                <w:b/>
              </w:rPr>
              <w:t>2014</w:t>
            </w:r>
          </w:p>
        </w:tc>
        <w:tc>
          <w:tcPr>
            <w:tcW w:w="1153" w:type="dxa"/>
            <w:shd w:val="clear" w:color="auto" w:fill="A5A5A5" w:themeFill="accent3"/>
          </w:tcPr>
          <w:p w14:paraId="2659189E" w14:textId="660CFA01" w:rsidR="00551272" w:rsidRPr="00B542E4" w:rsidRDefault="00551272" w:rsidP="00892BE5">
            <w:pPr>
              <w:jc w:val="center"/>
              <w:rPr>
                <w:b/>
              </w:rPr>
            </w:pPr>
            <w:r w:rsidRPr="00B542E4">
              <w:rPr>
                <w:b/>
              </w:rPr>
              <w:t>2015</w:t>
            </w:r>
          </w:p>
        </w:tc>
        <w:tc>
          <w:tcPr>
            <w:tcW w:w="1153" w:type="dxa"/>
            <w:shd w:val="clear" w:color="auto" w:fill="A5A5A5" w:themeFill="accent3"/>
          </w:tcPr>
          <w:p w14:paraId="43123113" w14:textId="6B7184C8" w:rsidR="00551272" w:rsidRPr="00B542E4" w:rsidRDefault="00551272" w:rsidP="00892BE5">
            <w:pPr>
              <w:jc w:val="center"/>
              <w:rPr>
                <w:b/>
              </w:rPr>
            </w:pPr>
            <w:r w:rsidRPr="00B542E4">
              <w:rPr>
                <w:b/>
              </w:rPr>
              <w:t>2016</w:t>
            </w:r>
          </w:p>
        </w:tc>
        <w:tc>
          <w:tcPr>
            <w:tcW w:w="1153" w:type="dxa"/>
            <w:shd w:val="clear" w:color="auto" w:fill="A5A5A5" w:themeFill="accent3"/>
          </w:tcPr>
          <w:p w14:paraId="2BF19147" w14:textId="0480FBE8" w:rsidR="00551272" w:rsidRPr="00B542E4" w:rsidRDefault="00551272" w:rsidP="00892BE5">
            <w:pPr>
              <w:jc w:val="center"/>
              <w:rPr>
                <w:b/>
              </w:rPr>
            </w:pPr>
            <w:r w:rsidRPr="00B542E4">
              <w:rPr>
                <w:b/>
              </w:rPr>
              <w:t>2017</w:t>
            </w:r>
          </w:p>
        </w:tc>
        <w:tc>
          <w:tcPr>
            <w:tcW w:w="1153" w:type="dxa"/>
            <w:shd w:val="clear" w:color="auto" w:fill="A5A5A5" w:themeFill="accent3"/>
          </w:tcPr>
          <w:p w14:paraId="6D5F0F6E" w14:textId="44980E38" w:rsidR="00551272" w:rsidRPr="00B542E4" w:rsidRDefault="00551272" w:rsidP="00892BE5">
            <w:pPr>
              <w:jc w:val="center"/>
              <w:rPr>
                <w:b/>
              </w:rPr>
            </w:pPr>
            <w:r w:rsidRPr="00B542E4">
              <w:rPr>
                <w:b/>
              </w:rPr>
              <w:t>2018</w:t>
            </w:r>
          </w:p>
        </w:tc>
        <w:tc>
          <w:tcPr>
            <w:tcW w:w="1153" w:type="dxa"/>
            <w:shd w:val="clear" w:color="auto" w:fill="A5A5A5" w:themeFill="accent3"/>
          </w:tcPr>
          <w:p w14:paraId="2EB4A908" w14:textId="4463AF10" w:rsidR="66070FEE" w:rsidRDefault="66070FEE" w:rsidP="00892BE5">
            <w:pPr>
              <w:jc w:val="center"/>
              <w:rPr>
                <w:b/>
                <w:bCs/>
              </w:rPr>
            </w:pPr>
            <w:r w:rsidRPr="21770B4B">
              <w:rPr>
                <w:b/>
                <w:bCs/>
              </w:rPr>
              <w:t>2019</w:t>
            </w:r>
          </w:p>
        </w:tc>
      </w:tr>
      <w:tr w:rsidR="00686AA4" w14:paraId="64D8B226" w14:textId="77777777" w:rsidTr="00FA3257">
        <w:trPr>
          <w:jc w:val="center"/>
        </w:trPr>
        <w:tc>
          <w:tcPr>
            <w:tcW w:w="1152" w:type="dxa"/>
          </w:tcPr>
          <w:p w14:paraId="130C79D6" w14:textId="2408945A" w:rsidR="00686AA4" w:rsidRDefault="00686AA4" w:rsidP="00892BE5">
            <w:r>
              <w:t xml:space="preserve">Target </w:t>
            </w:r>
            <w:r>
              <w:rPr>
                <w:rFonts w:cstheme="minorHAnsi"/>
              </w:rPr>
              <w:t>≤</w:t>
            </w:r>
          </w:p>
        </w:tc>
        <w:tc>
          <w:tcPr>
            <w:tcW w:w="1153" w:type="dxa"/>
          </w:tcPr>
          <w:p w14:paraId="60AAC71B" w14:textId="44073C53" w:rsidR="00686AA4" w:rsidRPr="00373050" w:rsidRDefault="00686AA4" w:rsidP="00892BE5">
            <w:pPr>
              <w:jc w:val="center"/>
              <w:rPr>
                <w:i/>
              </w:rPr>
            </w:pPr>
            <w:r w:rsidRPr="00373050">
              <w:rPr>
                <w:i/>
              </w:rPr>
              <w:t>Baseline</w:t>
            </w: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tcPr>
          <w:p w14:paraId="12A531C6" w14:textId="512C013B" w:rsidR="00686AA4" w:rsidRDefault="00686AA4" w:rsidP="00892BE5">
            <w:pPr>
              <w:jc w:val="center"/>
            </w:pPr>
            <w:r w:rsidRPr="005C29F8">
              <w:rPr>
                <w:rFonts w:cs="Arial"/>
                <w:color w:val="000000" w:themeColor="text1"/>
                <w:szCs w:val="16"/>
              </w:rPr>
              <w:t>1.80%</w:t>
            </w: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tcPr>
          <w:p w14:paraId="66734009" w14:textId="22F2ABD0" w:rsidR="00686AA4" w:rsidRDefault="00686AA4" w:rsidP="00892BE5">
            <w:pPr>
              <w:jc w:val="center"/>
            </w:pPr>
            <w:r w:rsidRPr="005C29F8">
              <w:rPr>
                <w:rFonts w:cs="Arial"/>
                <w:color w:val="000000" w:themeColor="text1"/>
                <w:szCs w:val="16"/>
              </w:rPr>
              <w:t>1.80%</w:t>
            </w: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tcPr>
          <w:p w14:paraId="6E6C8191" w14:textId="2C1EA8F3" w:rsidR="00686AA4" w:rsidRDefault="00686AA4" w:rsidP="00892BE5">
            <w:pPr>
              <w:jc w:val="center"/>
            </w:pPr>
            <w:r w:rsidRPr="005C29F8">
              <w:rPr>
                <w:rFonts w:cs="Arial"/>
                <w:color w:val="000000" w:themeColor="text1"/>
                <w:szCs w:val="16"/>
              </w:rPr>
              <w:t>1.80%</w:t>
            </w: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tcPr>
          <w:p w14:paraId="53B391E2" w14:textId="6A87C84D" w:rsidR="00686AA4" w:rsidRDefault="00686AA4" w:rsidP="00892BE5">
            <w:pPr>
              <w:jc w:val="center"/>
            </w:pPr>
            <w:r w:rsidRPr="005C29F8">
              <w:rPr>
                <w:rFonts w:cs="Arial"/>
                <w:color w:val="000000" w:themeColor="text1"/>
                <w:szCs w:val="16"/>
              </w:rPr>
              <w:t>1.80%</w:t>
            </w: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tcPr>
          <w:p w14:paraId="2AF06ED5" w14:textId="2F8A7EE1" w:rsidR="00686AA4" w:rsidRDefault="00686AA4" w:rsidP="00892BE5">
            <w:pPr>
              <w:jc w:val="center"/>
            </w:pPr>
            <w:r w:rsidRPr="005C29F8">
              <w:rPr>
                <w:rFonts w:cs="Arial"/>
                <w:color w:val="000000" w:themeColor="text1"/>
                <w:szCs w:val="16"/>
              </w:rPr>
              <w:t>1.80%</w:t>
            </w: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tcPr>
          <w:p w14:paraId="561D8D52" w14:textId="088BC576" w:rsidR="21770B4B" w:rsidRDefault="4B25BF0C" w:rsidP="00892BE5">
            <w:pPr>
              <w:jc w:val="center"/>
              <w:rPr>
                <w:rFonts w:eastAsiaTheme="minorEastAsia"/>
                <w:color w:val="000000" w:themeColor="text1"/>
              </w:rPr>
            </w:pPr>
            <w:r w:rsidRPr="4191B4F3">
              <w:rPr>
                <w:rFonts w:eastAsiaTheme="minorEastAsia"/>
                <w:color w:val="000000" w:themeColor="text1"/>
              </w:rPr>
              <w:t>1.80%</w:t>
            </w:r>
          </w:p>
        </w:tc>
      </w:tr>
    </w:tbl>
    <w:p w14:paraId="56E0148F" w14:textId="049432CB" w:rsidR="119B5B48" w:rsidRPr="00E77AD9" w:rsidRDefault="119B5B48" w:rsidP="006A1017">
      <w:pPr>
        <w:spacing w:before="240" w:after="0" w:line="240" w:lineRule="auto"/>
        <w:rPr>
          <w:rFonts w:ascii="Calibri" w:eastAsia="Calibri" w:hAnsi="Calibri" w:cs="Calibri"/>
          <w:color w:val="1B75BC"/>
          <w:sz w:val="32"/>
          <w:szCs w:val="32"/>
        </w:rPr>
      </w:pPr>
      <w:r w:rsidRPr="00E77AD9">
        <w:rPr>
          <w:rFonts w:ascii="Calibri" w:eastAsia="Calibri" w:hAnsi="Calibri" w:cs="Calibri"/>
          <w:b/>
          <w:bCs/>
          <w:color w:val="1B75BC"/>
          <w:sz w:val="32"/>
          <w:szCs w:val="32"/>
        </w:rPr>
        <w:t>What are the new targets?</w:t>
      </w:r>
    </w:p>
    <w:p w14:paraId="23ABEACA" w14:textId="58D718AE" w:rsidR="119B5B48" w:rsidRDefault="119B5B48" w:rsidP="004B1A85">
      <w:pPr>
        <w:spacing w:after="0" w:line="240" w:lineRule="auto"/>
        <w:rPr>
          <w:rFonts w:ascii="Calibri" w:eastAsia="Calibri" w:hAnsi="Calibri" w:cs="Calibri"/>
          <w:color w:val="000000" w:themeColor="text1"/>
        </w:rPr>
      </w:pPr>
      <w:r w:rsidRPr="21770B4B">
        <w:rPr>
          <w:rFonts w:ascii="Calibri" w:eastAsia="Calibri" w:hAnsi="Calibri" w:cs="Calibri"/>
          <w:color w:val="000000" w:themeColor="text1"/>
        </w:rPr>
        <w:t>The ODE will not set new targets until we hear from our partners. There are several ways to set new targets. It could be a percentage increase, start with the end game in mind, or examine trends over time and make predictions based on trends. Some helpful information about setting targets:</w:t>
      </w:r>
    </w:p>
    <w:p w14:paraId="4073F793" w14:textId="77777777" w:rsidR="0082151C" w:rsidRPr="006E77C6" w:rsidRDefault="0082151C" w:rsidP="006B64E1">
      <w:pPr>
        <w:pStyle w:val="ListParagraph"/>
        <w:numPr>
          <w:ilvl w:val="0"/>
          <w:numId w:val="8"/>
        </w:numPr>
        <w:spacing w:line="240" w:lineRule="auto"/>
        <w:rPr>
          <w:rFonts w:eastAsiaTheme="minorEastAsia"/>
          <w:color w:val="000000" w:themeColor="text1"/>
        </w:rPr>
      </w:pPr>
      <w:r w:rsidRPr="006E77C6">
        <w:rPr>
          <w:rFonts w:ascii="Calibri" w:eastAsia="Calibri" w:hAnsi="Calibri" w:cs="Calibri"/>
          <w:color w:val="000000" w:themeColor="text1"/>
        </w:rPr>
        <w:t>Targets are meant to support improved results and outcomes for children and families. They should be within reach but still show growth. </w:t>
      </w:r>
    </w:p>
    <w:p w14:paraId="47FBA14B" w14:textId="3BED89E2" w:rsidR="119B5B48" w:rsidRDefault="0082151C" w:rsidP="006B64E1">
      <w:pPr>
        <w:pStyle w:val="ListParagraph"/>
        <w:numPr>
          <w:ilvl w:val="0"/>
          <w:numId w:val="8"/>
        </w:numPr>
        <w:spacing w:line="240" w:lineRule="auto"/>
        <w:rPr>
          <w:rFonts w:eastAsiaTheme="minorEastAsia"/>
          <w:color w:val="000000" w:themeColor="text1"/>
          <w:sz w:val="24"/>
          <w:szCs w:val="24"/>
        </w:rPr>
      </w:pPr>
      <w:r w:rsidRPr="006E77C6">
        <w:rPr>
          <w:rFonts w:ascii="Calibri" w:eastAsia="Calibri" w:hAnsi="Calibri" w:cs="Calibri"/>
          <w:color w:val="000000" w:themeColor="text1"/>
        </w:rPr>
        <w:t xml:space="preserve">Change takes time. Targets can be created with this understanding in mind. For example, targets may stay the same for several years in a row, and then </w:t>
      </w:r>
      <w:r>
        <w:rPr>
          <w:rFonts w:ascii="Calibri" w:eastAsia="Calibri" w:hAnsi="Calibri" w:cs="Calibri"/>
          <w:color w:val="000000" w:themeColor="text1"/>
        </w:rPr>
        <w:t>improve</w:t>
      </w:r>
      <w:r w:rsidRPr="006E77C6">
        <w:rPr>
          <w:rFonts w:ascii="Calibri" w:eastAsia="Calibri" w:hAnsi="Calibri" w:cs="Calibri"/>
          <w:color w:val="000000" w:themeColor="text1"/>
        </w:rPr>
        <w:t xml:space="preserve"> slightly during the final target year (FFY 2025). </w:t>
      </w:r>
      <w:r>
        <w:rPr>
          <w:rFonts w:ascii="Calibri" w:eastAsia="Calibri" w:hAnsi="Calibri" w:cs="Calibri"/>
          <w:color w:val="000000" w:themeColor="text1"/>
        </w:rPr>
        <w:t xml:space="preserve">Alternatively, targets could </w:t>
      </w:r>
      <w:r w:rsidRPr="006E77C6">
        <w:rPr>
          <w:rFonts w:ascii="Calibri" w:eastAsia="Calibri" w:hAnsi="Calibri" w:cs="Calibri"/>
          <w:color w:val="000000" w:themeColor="text1"/>
        </w:rPr>
        <w:t xml:space="preserve">show a slight </w:t>
      </w:r>
      <w:r>
        <w:rPr>
          <w:rFonts w:ascii="Calibri" w:eastAsia="Calibri" w:hAnsi="Calibri" w:cs="Calibri"/>
          <w:color w:val="000000" w:themeColor="text1"/>
        </w:rPr>
        <w:t>improvement</w:t>
      </w:r>
      <w:r w:rsidRPr="006E77C6">
        <w:rPr>
          <w:rFonts w:ascii="Calibri" w:eastAsia="Calibri" w:hAnsi="Calibri" w:cs="Calibri"/>
          <w:color w:val="000000" w:themeColor="text1"/>
        </w:rPr>
        <w:t xml:space="preserve"> each year.</w:t>
      </w:r>
    </w:p>
    <w:p w14:paraId="387F1C07" w14:textId="31FE2C8B" w:rsidR="67DF3AF9" w:rsidRDefault="67DF3AF9" w:rsidP="006B64E1">
      <w:pPr>
        <w:spacing w:after="0" w:line="240" w:lineRule="auto"/>
        <w:rPr>
          <w:b/>
          <w:bCs/>
          <w:color w:val="408740"/>
          <w:sz w:val="24"/>
          <w:szCs w:val="24"/>
        </w:rPr>
      </w:pPr>
      <w:r w:rsidRPr="21770B4B">
        <w:rPr>
          <w:b/>
          <w:bCs/>
          <w:color w:val="408740"/>
          <w:sz w:val="24"/>
          <w:szCs w:val="24"/>
        </w:rPr>
        <w:t>Example A</w:t>
      </w:r>
    </w:p>
    <w:tbl>
      <w:tblPr>
        <w:tblStyle w:val="TableGrid"/>
        <w:tblW w:w="0" w:type="auto"/>
        <w:tblLook w:val="04A0" w:firstRow="1" w:lastRow="0" w:firstColumn="1" w:lastColumn="0" w:noHBand="0" w:noVBand="1"/>
        <w:tblCaption w:val="Example Targets"/>
        <w:tblDescription w:val="This table shows one possible set of targets that Oregon could use for this indicator for the FFY 2020-2025 State Performance Plan."/>
      </w:tblPr>
      <w:tblGrid>
        <w:gridCol w:w="2224"/>
        <w:gridCol w:w="1283"/>
        <w:gridCol w:w="1284"/>
        <w:gridCol w:w="1284"/>
        <w:gridCol w:w="1283"/>
        <w:gridCol w:w="1284"/>
        <w:gridCol w:w="1284"/>
      </w:tblGrid>
      <w:tr w:rsidR="00B87EF5" w:rsidRPr="00B542E4" w14:paraId="4D622EFE" w14:textId="77777777" w:rsidTr="44B23A45">
        <w:trPr>
          <w:tblHeader/>
        </w:trPr>
        <w:tc>
          <w:tcPr>
            <w:tcW w:w="2224" w:type="dxa"/>
            <w:shd w:val="clear" w:color="auto" w:fill="FFC000" w:themeFill="accent4"/>
          </w:tcPr>
          <w:p w14:paraId="259B6FD7" w14:textId="77777777" w:rsidR="00B87EF5" w:rsidRPr="00B542E4" w:rsidRDefault="00B87EF5" w:rsidP="006B64E1">
            <w:pPr>
              <w:jc w:val="center"/>
              <w:rPr>
                <w:b/>
              </w:rPr>
            </w:pPr>
            <w:r w:rsidRPr="00B542E4">
              <w:rPr>
                <w:b/>
              </w:rPr>
              <w:t>FFY</w:t>
            </w:r>
          </w:p>
        </w:tc>
        <w:tc>
          <w:tcPr>
            <w:tcW w:w="1283" w:type="dxa"/>
            <w:shd w:val="clear" w:color="auto" w:fill="FFC000" w:themeFill="accent4"/>
          </w:tcPr>
          <w:p w14:paraId="571E5A61" w14:textId="4B8CDFBC" w:rsidR="00B87EF5" w:rsidRPr="00B542E4" w:rsidRDefault="00B87EF5" w:rsidP="006B64E1">
            <w:pPr>
              <w:jc w:val="center"/>
              <w:rPr>
                <w:b/>
                <w:bCs/>
              </w:rPr>
            </w:pPr>
            <w:r w:rsidRPr="343894AB">
              <w:rPr>
                <w:b/>
                <w:bCs/>
              </w:rPr>
              <w:t>2</w:t>
            </w:r>
            <w:r w:rsidR="00872B58" w:rsidRPr="343894AB">
              <w:rPr>
                <w:b/>
                <w:bCs/>
              </w:rPr>
              <w:t>0</w:t>
            </w:r>
            <w:r w:rsidR="04DE0762" w:rsidRPr="343894AB">
              <w:rPr>
                <w:b/>
                <w:bCs/>
              </w:rPr>
              <w:t>20</w:t>
            </w:r>
          </w:p>
        </w:tc>
        <w:tc>
          <w:tcPr>
            <w:tcW w:w="1284" w:type="dxa"/>
            <w:shd w:val="clear" w:color="auto" w:fill="FFC000" w:themeFill="accent4"/>
          </w:tcPr>
          <w:p w14:paraId="427E1BD2" w14:textId="5A275B5D" w:rsidR="00B87EF5" w:rsidRPr="00B542E4" w:rsidRDefault="00872B58" w:rsidP="006B64E1">
            <w:pPr>
              <w:jc w:val="center"/>
              <w:rPr>
                <w:b/>
                <w:bCs/>
              </w:rPr>
            </w:pPr>
            <w:r w:rsidRPr="343894AB">
              <w:rPr>
                <w:b/>
                <w:bCs/>
              </w:rPr>
              <w:t>202</w:t>
            </w:r>
            <w:r w:rsidR="0472B718" w:rsidRPr="343894AB">
              <w:rPr>
                <w:b/>
                <w:bCs/>
              </w:rPr>
              <w:t>1</w:t>
            </w:r>
          </w:p>
        </w:tc>
        <w:tc>
          <w:tcPr>
            <w:tcW w:w="1284" w:type="dxa"/>
            <w:shd w:val="clear" w:color="auto" w:fill="FFC000" w:themeFill="accent4"/>
          </w:tcPr>
          <w:p w14:paraId="7AFE264B" w14:textId="76EB2E2E" w:rsidR="00B87EF5" w:rsidRPr="00B542E4" w:rsidRDefault="00872B58" w:rsidP="006B64E1">
            <w:pPr>
              <w:jc w:val="center"/>
              <w:rPr>
                <w:b/>
                <w:bCs/>
              </w:rPr>
            </w:pPr>
            <w:r w:rsidRPr="343894AB">
              <w:rPr>
                <w:b/>
                <w:bCs/>
              </w:rPr>
              <w:t>202</w:t>
            </w:r>
            <w:r w:rsidR="4166CF76" w:rsidRPr="343894AB">
              <w:rPr>
                <w:b/>
                <w:bCs/>
              </w:rPr>
              <w:t>2</w:t>
            </w:r>
          </w:p>
        </w:tc>
        <w:tc>
          <w:tcPr>
            <w:tcW w:w="1283" w:type="dxa"/>
            <w:shd w:val="clear" w:color="auto" w:fill="FFC000" w:themeFill="accent4"/>
          </w:tcPr>
          <w:p w14:paraId="031017BE" w14:textId="24647B68" w:rsidR="00B87EF5" w:rsidRPr="00B542E4" w:rsidRDefault="00872B58" w:rsidP="006B64E1">
            <w:pPr>
              <w:jc w:val="center"/>
              <w:rPr>
                <w:b/>
                <w:bCs/>
              </w:rPr>
            </w:pPr>
            <w:r w:rsidRPr="343894AB">
              <w:rPr>
                <w:b/>
                <w:bCs/>
              </w:rPr>
              <w:t>202</w:t>
            </w:r>
            <w:r w:rsidR="46425BA2" w:rsidRPr="343894AB">
              <w:rPr>
                <w:b/>
                <w:bCs/>
              </w:rPr>
              <w:t>3</w:t>
            </w:r>
          </w:p>
        </w:tc>
        <w:tc>
          <w:tcPr>
            <w:tcW w:w="1284" w:type="dxa"/>
            <w:shd w:val="clear" w:color="auto" w:fill="FFC000" w:themeFill="accent4"/>
          </w:tcPr>
          <w:p w14:paraId="1B6B7751" w14:textId="4BB78077" w:rsidR="00B87EF5" w:rsidRPr="00B542E4" w:rsidRDefault="00872B58" w:rsidP="006B64E1">
            <w:pPr>
              <w:jc w:val="center"/>
              <w:rPr>
                <w:b/>
                <w:bCs/>
              </w:rPr>
            </w:pPr>
            <w:r w:rsidRPr="343894AB">
              <w:rPr>
                <w:b/>
                <w:bCs/>
              </w:rPr>
              <w:t>202</w:t>
            </w:r>
            <w:r w:rsidR="5167A7CA" w:rsidRPr="343894AB">
              <w:rPr>
                <w:b/>
                <w:bCs/>
              </w:rPr>
              <w:t>4</w:t>
            </w:r>
          </w:p>
        </w:tc>
        <w:tc>
          <w:tcPr>
            <w:tcW w:w="1284" w:type="dxa"/>
            <w:shd w:val="clear" w:color="auto" w:fill="FFC000" w:themeFill="accent4"/>
          </w:tcPr>
          <w:p w14:paraId="04CD271D" w14:textId="6028741B" w:rsidR="00B87EF5" w:rsidRPr="00B542E4" w:rsidRDefault="00872B58" w:rsidP="006B64E1">
            <w:pPr>
              <w:jc w:val="center"/>
              <w:rPr>
                <w:b/>
                <w:bCs/>
              </w:rPr>
            </w:pPr>
            <w:r w:rsidRPr="343894AB">
              <w:rPr>
                <w:b/>
                <w:bCs/>
              </w:rPr>
              <w:t>202</w:t>
            </w:r>
            <w:r w:rsidR="7D6215D6" w:rsidRPr="343894AB">
              <w:rPr>
                <w:b/>
                <w:bCs/>
              </w:rPr>
              <w:t>5</w:t>
            </w:r>
          </w:p>
        </w:tc>
      </w:tr>
      <w:tr w:rsidR="002A100A" w14:paraId="45E14FEF" w14:textId="77777777" w:rsidTr="44B23A45">
        <w:tc>
          <w:tcPr>
            <w:tcW w:w="2224" w:type="dxa"/>
          </w:tcPr>
          <w:p w14:paraId="5A93EBDE" w14:textId="3907B647" w:rsidR="002A100A" w:rsidRDefault="002A100A" w:rsidP="006B64E1">
            <w:r>
              <w:t>Targets for 5A</w:t>
            </w:r>
            <w:r w:rsidR="00356BE5">
              <w:t xml:space="preserve"> </w:t>
            </w:r>
            <w:r w:rsidR="00356BE5">
              <w:rPr>
                <w:rFonts w:cstheme="minorHAnsi"/>
              </w:rPr>
              <w:t>≥</w:t>
            </w:r>
          </w:p>
        </w:tc>
        <w:tc>
          <w:tcPr>
            <w:tcW w:w="1283" w:type="dxa"/>
          </w:tcPr>
          <w:p w14:paraId="77CC9AB5" w14:textId="2C6AF05C" w:rsidR="002A100A" w:rsidRPr="00B87EF5" w:rsidRDefault="001C230C" w:rsidP="006B64E1">
            <w:pPr>
              <w:jc w:val="center"/>
            </w:pPr>
            <w:r>
              <w:t>75.00%</w:t>
            </w:r>
          </w:p>
        </w:tc>
        <w:tc>
          <w:tcPr>
            <w:tcW w:w="1284" w:type="dxa"/>
          </w:tcPr>
          <w:p w14:paraId="7F5803A4" w14:textId="009D04A2" w:rsidR="002A100A" w:rsidRDefault="001C230C" w:rsidP="006B64E1">
            <w:pPr>
              <w:jc w:val="center"/>
            </w:pPr>
            <w:r>
              <w:t>75</w:t>
            </w:r>
            <w:r w:rsidR="004B1A85">
              <w:t>.00%</w:t>
            </w:r>
          </w:p>
        </w:tc>
        <w:tc>
          <w:tcPr>
            <w:tcW w:w="1284" w:type="dxa"/>
          </w:tcPr>
          <w:p w14:paraId="6E90AE60" w14:textId="4B4D195E" w:rsidR="002A100A" w:rsidRDefault="001C230C" w:rsidP="006B64E1">
            <w:pPr>
              <w:jc w:val="center"/>
            </w:pPr>
            <w:r>
              <w:t>76</w:t>
            </w:r>
            <w:r w:rsidR="004B1A85">
              <w:t>.00%</w:t>
            </w:r>
          </w:p>
        </w:tc>
        <w:tc>
          <w:tcPr>
            <w:tcW w:w="1283" w:type="dxa"/>
          </w:tcPr>
          <w:p w14:paraId="3F7E8632" w14:textId="67D30A01" w:rsidR="002A100A" w:rsidRDefault="001C230C" w:rsidP="006B64E1">
            <w:pPr>
              <w:jc w:val="center"/>
            </w:pPr>
            <w:r>
              <w:t>76</w:t>
            </w:r>
            <w:r w:rsidR="004B1A85">
              <w:t>.00%</w:t>
            </w:r>
          </w:p>
        </w:tc>
        <w:tc>
          <w:tcPr>
            <w:tcW w:w="1284" w:type="dxa"/>
          </w:tcPr>
          <w:p w14:paraId="73EF069A" w14:textId="2633C6EB" w:rsidR="002A100A" w:rsidRDefault="001C230C" w:rsidP="006B64E1">
            <w:pPr>
              <w:jc w:val="center"/>
            </w:pPr>
            <w:r>
              <w:t>78</w:t>
            </w:r>
            <w:r w:rsidR="004B1A85">
              <w:t>.00%</w:t>
            </w:r>
          </w:p>
        </w:tc>
        <w:tc>
          <w:tcPr>
            <w:tcW w:w="1284" w:type="dxa"/>
          </w:tcPr>
          <w:p w14:paraId="33DD2500" w14:textId="5C024C20" w:rsidR="002A100A" w:rsidRDefault="001C230C" w:rsidP="006B64E1">
            <w:pPr>
              <w:jc w:val="center"/>
            </w:pPr>
            <w:r>
              <w:t>78.00%</w:t>
            </w:r>
          </w:p>
        </w:tc>
      </w:tr>
      <w:tr w:rsidR="00B87EF5" w14:paraId="4570D8F1" w14:textId="77777777" w:rsidTr="44B23A45">
        <w:tc>
          <w:tcPr>
            <w:tcW w:w="2224" w:type="dxa"/>
          </w:tcPr>
          <w:p w14:paraId="4AB1AD99" w14:textId="355A249F" w:rsidR="00B87EF5" w:rsidRDefault="002A100A" w:rsidP="006B64E1">
            <w:r>
              <w:t>Targets for 5B</w:t>
            </w:r>
            <w:r w:rsidR="00356BE5">
              <w:t xml:space="preserve"> </w:t>
            </w:r>
            <w:r w:rsidR="00356BE5">
              <w:rPr>
                <w:rFonts w:cstheme="minorHAnsi"/>
              </w:rPr>
              <w:t>≤</w:t>
            </w:r>
          </w:p>
        </w:tc>
        <w:tc>
          <w:tcPr>
            <w:tcW w:w="1283" w:type="dxa"/>
          </w:tcPr>
          <w:p w14:paraId="1D5DB2EE" w14:textId="38DB08C7" w:rsidR="00B87EF5" w:rsidRPr="00B87EF5" w:rsidRDefault="61B5A5E7" w:rsidP="006B64E1">
            <w:pPr>
              <w:jc w:val="center"/>
            </w:pPr>
            <w:r>
              <w:t>9.25</w:t>
            </w:r>
            <w:r w:rsidR="7D0F0BDA">
              <w:t>%</w:t>
            </w:r>
          </w:p>
        </w:tc>
        <w:tc>
          <w:tcPr>
            <w:tcW w:w="1284" w:type="dxa"/>
          </w:tcPr>
          <w:p w14:paraId="2EA620F7" w14:textId="4E63285D" w:rsidR="00B87EF5" w:rsidRDefault="7DA57115" w:rsidP="006B64E1">
            <w:pPr>
              <w:jc w:val="center"/>
            </w:pPr>
            <w:r>
              <w:t>8.90</w:t>
            </w:r>
            <w:r w:rsidR="004B1A85">
              <w:t>%</w:t>
            </w:r>
          </w:p>
        </w:tc>
        <w:tc>
          <w:tcPr>
            <w:tcW w:w="1284" w:type="dxa"/>
          </w:tcPr>
          <w:p w14:paraId="364B68AA" w14:textId="5F2C60FC" w:rsidR="00B87EF5" w:rsidRDefault="2035640F" w:rsidP="006B64E1">
            <w:pPr>
              <w:jc w:val="center"/>
            </w:pPr>
            <w:r>
              <w:t>8.80</w:t>
            </w:r>
            <w:r w:rsidR="004B1A85">
              <w:t>%</w:t>
            </w:r>
          </w:p>
        </w:tc>
        <w:tc>
          <w:tcPr>
            <w:tcW w:w="1283" w:type="dxa"/>
          </w:tcPr>
          <w:p w14:paraId="05FB1FCC" w14:textId="0D76C5CE" w:rsidR="00B87EF5" w:rsidRDefault="204521A1" w:rsidP="006B64E1">
            <w:pPr>
              <w:jc w:val="center"/>
            </w:pPr>
            <w:r>
              <w:t>8.70</w:t>
            </w:r>
            <w:r w:rsidR="004B1A85">
              <w:t>%</w:t>
            </w:r>
          </w:p>
        </w:tc>
        <w:tc>
          <w:tcPr>
            <w:tcW w:w="1284" w:type="dxa"/>
          </w:tcPr>
          <w:p w14:paraId="0DFF8704" w14:textId="421151B3" w:rsidR="00B87EF5" w:rsidRDefault="4E3D92FD" w:rsidP="006B64E1">
            <w:pPr>
              <w:jc w:val="center"/>
            </w:pPr>
            <w:r>
              <w:t>8.6</w:t>
            </w:r>
            <w:r w:rsidR="004B1A85">
              <w:t>0%</w:t>
            </w:r>
          </w:p>
        </w:tc>
        <w:tc>
          <w:tcPr>
            <w:tcW w:w="1284" w:type="dxa"/>
          </w:tcPr>
          <w:p w14:paraId="1EEB56E2" w14:textId="103F98C0" w:rsidR="00B87EF5" w:rsidRDefault="71E30A59" w:rsidP="006B64E1">
            <w:pPr>
              <w:jc w:val="center"/>
            </w:pPr>
            <w:r>
              <w:t>8.5</w:t>
            </w:r>
            <w:r w:rsidR="004B1A85">
              <w:t>0%</w:t>
            </w:r>
          </w:p>
        </w:tc>
      </w:tr>
      <w:tr w:rsidR="00B87EF5" w14:paraId="44F2654E" w14:textId="77777777" w:rsidTr="44B23A45">
        <w:tc>
          <w:tcPr>
            <w:tcW w:w="2224" w:type="dxa"/>
          </w:tcPr>
          <w:p w14:paraId="153F8246" w14:textId="356803A7" w:rsidR="00B87EF5" w:rsidRDefault="002A100A" w:rsidP="006B64E1">
            <w:r>
              <w:t>Targets for 5C</w:t>
            </w:r>
            <w:r w:rsidR="00356BE5">
              <w:t xml:space="preserve"> </w:t>
            </w:r>
            <w:r w:rsidR="00356BE5">
              <w:rPr>
                <w:rFonts w:cstheme="minorHAnsi"/>
              </w:rPr>
              <w:t>≤</w:t>
            </w:r>
          </w:p>
        </w:tc>
        <w:tc>
          <w:tcPr>
            <w:tcW w:w="1283" w:type="dxa"/>
          </w:tcPr>
          <w:p w14:paraId="40758069" w14:textId="7FDAD6F3" w:rsidR="00B87EF5" w:rsidRDefault="001C230C" w:rsidP="006B64E1">
            <w:pPr>
              <w:jc w:val="center"/>
            </w:pPr>
            <w:r>
              <w:t>1.80%</w:t>
            </w:r>
          </w:p>
        </w:tc>
        <w:tc>
          <w:tcPr>
            <w:tcW w:w="1284" w:type="dxa"/>
          </w:tcPr>
          <w:p w14:paraId="76CC12D5" w14:textId="5394C904" w:rsidR="00B87EF5" w:rsidRDefault="004B1A85" w:rsidP="006B64E1">
            <w:pPr>
              <w:jc w:val="center"/>
            </w:pPr>
            <w:r>
              <w:t>1.80%</w:t>
            </w:r>
          </w:p>
        </w:tc>
        <w:tc>
          <w:tcPr>
            <w:tcW w:w="1284" w:type="dxa"/>
          </w:tcPr>
          <w:p w14:paraId="0DFB7BA7" w14:textId="0DF08B2D" w:rsidR="00B87EF5" w:rsidRDefault="004B1A85" w:rsidP="006B64E1">
            <w:pPr>
              <w:jc w:val="center"/>
            </w:pPr>
            <w:r>
              <w:t>1.80%</w:t>
            </w:r>
          </w:p>
        </w:tc>
        <w:tc>
          <w:tcPr>
            <w:tcW w:w="1283" w:type="dxa"/>
          </w:tcPr>
          <w:p w14:paraId="03C37C54" w14:textId="60180654" w:rsidR="00B87EF5" w:rsidRDefault="004B1A85" w:rsidP="006B64E1">
            <w:pPr>
              <w:jc w:val="center"/>
            </w:pPr>
            <w:r>
              <w:t>1.80%</w:t>
            </w:r>
          </w:p>
        </w:tc>
        <w:tc>
          <w:tcPr>
            <w:tcW w:w="1284" w:type="dxa"/>
          </w:tcPr>
          <w:p w14:paraId="7D856101" w14:textId="14B79B36" w:rsidR="00B87EF5" w:rsidRDefault="004B1A85" w:rsidP="006B64E1">
            <w:pPr>
              <w:jc w:val="center"/>
            </w:pPr>
            <w:r>
              <w:t>1.80%</w:t>
            </w:r>
          </w:p>
        </w:tc>
        <w:tc>
          <w:tcPr>
            <w:tcW w:w="1284" w:type="dxa"/>
          </w:tcPr>
          <w:p w14:paraId="00E74FF0" w14:textId="7F40B1E9" w:rsidR="00B87EF5" w:rsidRDefault="004B1A85" w:rsidP="006B64E1">
            <w:pPr>
              <w:jc w:val="center"/>
            </w:pPr>
            <w:r>
              <w:t>1.75%</w:t>
            </w:r>
          </w:p>
        </w:tc>
      </w:tr>
    </w:tbl>
    <w:p w14:paraId="47B083D4" w14:textId="08B25E31" w:rsidR="700C4117" w:rsidRDefault="700C4117" w:rsidP="006B64E1">
      <w:pPr>
        <w:spacing w:before="120" w:after="0" w:line="240" w:lineRule="auto"/>
        <w:rPr>
          <w:sz w:val="24"/>
          <w:szCs w:val="24"/>
        </w:rPr>
      </w:pPr>
      <w:r w:rsidRPr="085480F3">
        <w:rPr>
          <w:sz w:val="24"/>
          <w:szCs w:val="24"/>
        </w:rPr>
        <w:t xml:space="preserve">Example A shows a gradual </w:t>
      </w:r>
      <w:r w:rsidR="004B1A85">
        <w:rPr>
          <w:sz w:val="24"/>
          <w:szCs w:val="24"/>
        </w:rPr>
        <w:t>improvement</w:t>
      </w:r>
      <w:r w:rsidR="1EB829FD" w:rsidRPr="085480F3">
        <w:rPr>
          <w:sz w:val="24"/>
          <w:szCs w:val="24"/>
        </w:rPr>
        <w:t>.</w:t>
      </w:r>
    </w:p>
    <w:p w14:paraId="759F8B3E" w14:textId="0F87C6B3" w:rsidR="002A100A" w:rsidRDefault="0CC85973" w:rsidP="004B1A85">
      <w:pPr>
        <w:spacing w:before="120" w:after="0" w:line="240" w:lineRule="auto"/>
        <w:rPr>
          <w:b/>
          <w:bCs/>
          <w:color w:val="408740"/>
          <w:sz w:val="24"/>
          <w:szCs w:val="24"/>
        </w:rPr>
      </w:pPr>
      <w:r w:rsidRPr="21770B4B">
        <w:rPr>
          <w:b/>
          <w:bCs/>
          <w:color w:val="408740"/>
          <w:sz w:val="24"/>
          <w:szCs w:val="24"/>
        </w:rPr>
        <w:t>Example</w:t>
      </w:r>
      <w:r w:rsidR="002A100A" w:rsidRPr="21770B4B">
        <w:rPr>
          <w:b/>
          <w:bCs/>
          <w:color w:val="408740"/>
          <w:sz w:val="24"/>
          <w:szCs w:val="24"/>
        </w:rPr>
        <w:t xml:space="preserve"> B</w:t>
      </w:r>
    </w:p>
    <w:tbl>
      <w:tblPr>
        <w:tblStyle w:val="TableGrid"/>
        <w:tblW w:w="0" w:type="auto"/>
        <w:tblLook w:val="04A0" w:firstRow="1" w:lastRow="0" w:firstColumn="1" w:lastColumn="0" w:noHBand="0" w:noVBand="1"/>
        <w:tblCaption w:val="Example Targets"/>
        <w:tblDescription w:val="This table shows one possible set of targets that Oregon could use for this indicator for the FFY 2020-2025 State Performance Plan."/>
      </w:tblPr>
      <w:tblGrid>
        <w:gridCol w:w="2224"/>
        <w:gridCol w:w="1283"/>
        <w:gridCol w:w="1284"/>
        <w:gridCol w:w="1284"/>
        <w:gridCol w:w="1283"/>
        <w:gridCol w:w="1284"/>
        <w:gridCol w:w="1284"/>
      </w:tblGrid>
      <w:tr w:rsidR="0027587A" w:rsidRPr="00B542E4" w14:paraId="7E8BE661" w14:textId="77777777" w:rsidTr="44B23A45">
        <w:trPr>
          <w:tblHeader/>
        </w:trPr>
        <w:tc>
          <w:tcPr>
            <w:tcW w:w="2224" w:type="dxa"/>
            <w:shd w:val="clear" w:color="auto" w:fill="ED7D31" w:themeFill="accent2"/>
          </w:tcPr>
          <w:p w14:paraId="258604EF" w14:textId="77777777" w:rsidR="0027587A" w:rsidRPr="00B542E4" w:rsidRDefault="0027587A" w:rsidP="006B64E1">
            <w:pPr>
              <w:jc w:val="center"/>
              <w:rPr>
                <w:b/>
              </w:rPr>
            </w:pPr>
            <w:r w:rsidRPr="00B542E4">
              <w:rPr>
                <w:b/>
              </w:rPr>
              <w:t>FFY</w:t>
            </w:r>
          </w:p>
        </w:tc>
        <w:tc>
          <w:tcPr>
            <w:tcW w:w="1283" w:type="dxa"/>
            <w:shd w:val="clear" w:color="auto" w:fill="ED7D31" w:themeFill="accent2"/>
          </w:tcPr>
          <w:p w14:paraId="6A923617" w14:textId="4B8CDFBC" w:rsidR="343894AB" w:rsidRDefault="343894AB" w:rsidP="006B64E1">
            <w:pPr>
              <w:jc w:val="center"/>
              <w:rPr>
                <w:b/>
                <w:bCs/>
              </w:rPr>
            </w:pPr>
            <w:r w:rsidRPr="343894AB">
              <w:rPr>
                <w:b/>
                <w:bCs/>
              </w:rPr>
              <w:t>2020</w:t>
            </w:r>
          </w:p>
        </w:tc>
        <w:tc>
          <w:tcPr>
            <w:tcW w:w="1284" w:type="dxa"/>
            <w:shd w:val="clear" w:color="auto" w:fill="ED7D31" w:themeFill="accent2"/>
          </w:tcPr>
          <w:p w14:paraId="13B9C4DC" w14:textId="5A275B5D" w:rsidR="343894AB" w:rsidRDefault="343894AB" w:rsidP="006B64E1">
            <w:pPr>
              <w:jc w:val="center"/>
              <w:rPr>
                <w:b/>
                <w:bCs/>
              </w:rPr>
            </w:pPr>
            <w:r w:rsidRPr="343894AB">
              <w:rPr>
                <w:b/>
                <w:bCs/>
              </w:rPr>
              <w:t>2021</w:t>
            </w:r>
          </w:p>
        </w:tc>
        <w:tc>
          <w:tcPr>
            <w:tcW w:w="1284" w:type="dxa"/>
            <w:shd w:val="clear" w:color="auto" w:fill="ED7D31" w:themeFill="accent2"/>
          </w:tcPr>
          <w:p w14:paraId="70D43688" w14:textId="76EB2E2E" w:rsidR="343894AB" w:rsidRDefault="343894AB" w:rsidP="006B64E1">
            <w:pPr>
              <w:jc w:val="center"/>
              <w:rPr>
                <w:b/>
                <w:bCs/>
              </w:rPr>
            </w:pPr>
            <w:r w:rsidRPr="343894AB">
              <w:rPr>
                <w:b/>
                <w:bCs/>
              </w:rPr>
              <w:t>2022</w:t>
            </w:r>
          </w:p>
        </w:tc>
        <w:tc>
          <w:tcPr>
            <w:tcW w:w="1283" w:type="dxa"/>
            <w:shd w:val="clear" w:color="auto" w:fill="ED7D31" w:themeFill="accent2"/>
          </w:tcPr>
          <w:p w14:paraId="3E957E52" w14:textId="24647B68" w:rsidR="343894AB" w:rsidRDefault="343894AB" w:rsidP="006B64E1">
            <w:pPr>
              <w:jc w:val="center"/>
              <w:rPr>
                <w:b/>
                <w:bCs/>
              </w:rPr>
            </w:pPr>
            <w:r w:rsidRPr="343894AB">
              <w:rPr>
                <w:b/>
                <w:bCs/>
              </w:rPr>
              <w:t>2023</w:t>
            </w:r>
          </w:p>
        </w:tc>
        <w:tc>
          <w:tcPr>
            <w:tcW w:w="1284" w:type="dxa"/>
            <w:shd w:val="clear" w:color="auto" w:fill="ED7D31" w:themeFill="accent2"/>
          </w:tcPr>
          <w:p w14:paraId="77E535CC" w14:textId="4BB78077" w:rsidR="343894AB" w:rsidRDefault="343894AB" w:rsidP="006B64E1">
            <w:pPr>
              <w:jc w:val="center"/>
              <w:rPr>
                <w:b/>
                <w:bCs/>
              </w:rPr>
            </w:pPr>
            <w:r w:rsidRPr="343894AB">
              <w:rPr>
                <w:b/>
                <w:bCs/>
              </w:rPr>
              <w:t>2024</w:t>
            </w:r>
          </w:p>
        </w:tc>
        <w:tc>
          <w:tcPr>
            <w:tcW w:w="1284" w:type="dxa"/>
            <w:shd w:val="clear" w:color="auto" w:fill="ED7D31" w:themeFill="accent2"/>
          </w:tcPr>
          <w:p w14:paraId="5E08DBF0" w14:textId="6028741B" w:rsidR="343894AB" w:rsidRDefault="343894AB" w:rsidP="006B64E1">
            <w:pPr>
              <w:jc w:val="center"/>
              <w:rPr>
                <w:b/>
                <w:bCs/>
              </w:rPr>
            </w:pPr>
            <w:r w:rsidRPr="343894AB">
              <w:rPr>
                <w:b/>
                <w:bCs/>
              </w:rPr>
              <w:t>2025</w:t>
            </w:r>
          </w:p>
        </w:tc>
      </w:tr>
      <w:tr w:rsidR="00B40ECE" w14:paraId="3AB52173" w14:textId="77777777" w:rsidTr="44B23A45">
        <w:trPr>
          <w:tblHeader/>
        </w:trPr>
        <w:tc>
          <w:tcPr>
            <w:tcW w:w="2224" w:type="dxa"/>
          </w:tcPr>
          <w:p w14:paraId="58122095" w14:textId="3199082C" w:rsidR="00B40ECE" w:rsidRDefault="00B40ECE" w:rsidP="00B40ECE">
            <w:r>
              <w:t xml:space="preserve">Targets for 5A </w:t>
            </w:r>
            <w:r>
              <w:rPr>
                <w:rFonts w:cstheme="minorHAnsi"/>
              </w:rPr>
              <w:t>≥</w:t>
            </w:r>
          </w:p>
        </w:tc>
        <w:tc>
          <w:tcPr>
            <w:tcW w:w="1283" w:type="dxa"/>
          </w:tcPr>
          <w:p w14:paraId="4A78CC05" w14:textId="30C7F991" w:rsidR="00B40ECE" w:rsidRPr="00B87EF5" w:rsidRDefault="00B40ECE" w:rsidP="00B40ECE">
            <w:pPr>
              <w:jc w:val="center"/>
            </w:pPr>
            <w:r>
              <w:t>75.00%</w:t>
            </w:r>
          </w:p>
        </w:tc>
        <w:tc>
          <w:tcPr>
            <w:tcW w:w="1284" w:type="dxa"/>
          </w:tcPr>
          <w:p w14:paraId="1737B822" w14:textId="00F0565D" w:rsidR="00B40ECE" w:rsidRDefault="00B40ECE" w:rsidP="00B40ECE">
            <w:pPr>
              <w:jc w:val="center"/>
            </w:pPr>
            <w:r>
              <w:t>76.00%</w:t>
            </w:r>
          </w:p>
        </w:tc>
        <w:tc>
          <w:tcPr>
            <w:tcW w:w="1284" w:type="dxa"/>
          </w:tcPr>
          <w:p w14:paraId="4F9F9B6F" w14:textId="3EEB1038" w:rsidR="00B40ECE" w:rsidRDefault="00B40ECE" w:rsidP="00B40ECE">
            <w:pPr>
              <w:jc w:val="center"/>
            </w:pPr>
            <w:r>
              <w:t>77.00%</w:t>
            </w:r>
          </w:p>
        </w:tc>
        <w:tc>
          <w:tcPr>
            <w:tcW w:w="1283" w:type="dxa"/>
          </w:tcPr>
          <w:p w14:paraId="391ADC2C" w14:textId="7A4683E1" w:rsidR="00B40ECE" w:rsidRDefault="00B40ECE" w:rsidP="00B40ECE">
            <w:pPr>
              <w:jc w:val="center"/>
            </w:pPr>
            <w:r>
              <w:t>77.00%</w:t>
            </w:r>
          </w:p>
        </w:tc>
        <w:tc>
          <w:tcPr>
            <w:tcW w:w="1284" w:type="dxa"/>
          </w:tcPr>
          <w:p w14:paraId="567D5E92" w14:textId="2C99EF04" w:rsidR="00B40ECE" w:rsidRDefault="00B40ECE" w:rsidP="00B40ECE">
            <w:pPr>
              <w:jc w:val="center"/>
            </w:pPr>
            <w:r>
              <w:t>78.00%</w:t>
            </w:r>
          </w:p>
        </w:tc>
        <w:tc>
          <w:tcPr>
            <w:tcW w:w="1284" w:type="dxa"/>
          </w:tcPr>
          <w:p w14:paraId="22A1F808" w14:textId="08A51513" w:rsidR="00B40ECE" w:rsidRDefault="00B40ECE" w:rsidP="00B40ECE">
            <w:pPr>
              <w:jc w:val="center"/>
            </w:pPr>
            <w:r>
              <w:t>79.00%</w:t>
            </w:r>
          </w:p>
        </w:tc>
      </w:tr>
      <w:tr w:rsidR="00B40ECE" w14:paraId="68678970" w14:textId="77777777" w:rsidTr="44B23A45">
        <w:trPr>
          <w:tblHeader/>
        </w:trPr>
        <w:tc>
          <w:tcPr>
            <w:tcW w:w="2224" w:type="dxa"/>
          </w:tcPr>
          <w:p w14:paraId="51D10AC0" w14:textId="0C23D1FD" w:rsidR="00B40ECE" w:rsidRDefault="00B40ECE" w:rsidP="00B40ECE">
            <w:r>
              <w:t xml:space="preserve">Targets for 5B </w:t>
            </w:r>
            <w:r>
              <w:rPr>
                <w:rFonts w:cstheme="minorHAnsi"/>
              </w:rPr>
              <w:t>≤</w:t>
            </w:r>
          </w:p>
        </w:tc>
        <w:tc>
          <w:tcPr>
            <w:tcW w:w="1283" w:type="dxa"/>
          </w:tcPr>
          <w:p w14:paraId="5B9636A6" w14:textId="6BE651BF" w:rsidR="00B40ECE" w:rsidRPr="00B87EF5" w:rsidRDefault="36774705" w:rsidP="00B40ECE">
            <w:pPr>
              <w:jc w:val="center"/>
            </w:pPr>
            <w:r>
              <w:t>9.25</w:t>
            </w:r>
            <w:r w:rsidR="00B40ECE">
              <w:t>%</w:t>
            </w:r>
          </w:p>
        </w:tc>
        <w:tc>
          <w:tcPr>
            <w:tcW w:w="1284" w:type="dxa"/>
          </w:tcPr>
          <w:p w14:paraId="2CBB6269" w14:textId="2F6F7177" w:rsidR="00B40ECE" w:rsidRDefault="0227E71E" w:rsidP="00B40ECE">
            <w:pPr>
              <w:jc w:val="center"/>
            </w:pPr>
            <w:r>
              <w:t>9.00</w:t>
            </w:r>
            <w:r w:rsidR="00B40ECE">
              <w:t>%</w:t>
            </w:r>
          </w:p>
        </w:tc>
        <w:tc>
          <w:tcPr>
            <w:tcW w:w="1284" w:type="dxa"/>
          </w:tcPr>
          <w:p w14:paraId="2BBB2366" w14:textId="0860A9D9" w:rsidR="00B40ECE" w:rsidRDefault="45230FCC" w:rsidP="00B40ECE">
            <w:pPr>
              <w:jc w:val="center"/>
            </w:pPr>
            <w:r>
              <w:t>8.70</w:t>
            </w:r>
            <w:r w:rsidR="00B40ECE">
              <w:t>%</w:t>
            </w:r>
          </w:p>
        </w:tc>
        <w:tc>
          <w:tcPr>
            <w:tcW w:w="1283" w:type="dxa"/>
          </w:tcPr>
          <w:p w14:paraId="4549BDF2" w14:textId="6755C9B9" w:rsidR="00B40ECE" w:rsidRDefault="21BAB9BD" w:rsidP="00B40ECE">
            <w:pPr>
              <w:jc w:val="center"/>
            </w:pPr>
            <w:r>
              <w:t>8</w:t>
            </w:r>
            <w:r w:rsidR="00B40ECE">
              <w:t>.40%</w:t>
            </w:r>
          </w:p>
        </w:tc>
        <w:tc>
          <w:tcPr>
            <w:tcW w:w="1284" w:type="dxa"/>
          </w:tcPr>
          <w:p w14:paraId="3908C81A" w14:textId="4BCAAAC9" w:rsidR="00B40ECE" w:rsidRDefault="2D6EDFE7" w:rsidP="00B40ECE">
            <w:pPr>
              <w:jc w:val="center"/>
            </w:pPr>
            <w:r>
              <w:t>8.00</w:t>
            </w:r>
            <w:r w:rsidR="00B40ECE">
              <w:t>%</w:t>
            </w:r>
          </w:p>
        </w:tc>
        <w:tc>
          <w:tcPr>
            <w:tcW w:w="1284" w:type="dxa"/>
          </w:tcPr>
          <w:p w14:paraId="20F16976" w14:textId="387CD414" w:rsidR="00B40ECE" w:rsidRDefault="53775DCB" w:rsidP="00B40ECE">
            <w:pPr>
              <w:jc w:val="center"/>
            </w:pPr>
            <w:r>
              <w:t>7.80</w:t>
            </w:r>
            <w:r w:rsidR="00B40ECE">
              <w:t>%</w:t>
            </w:r>
          </w:p>
        </w:tc>
      </w:tr>
      <w:tr w:rsidR="00B40ECE" w14:paraId="4A566C0A" w14:textId="77777777" w:rsidTr="44B23A45">
        <w:trPr>
          <w:tblHeader/>
        </w:trPr>
        <w:tc>
          <w:tcPr>
            <w:tcW w:w="2224" w:type="dxa"/>
          </w:tcPr>
          <w:p w14:paraId="67108904" w14:textId="6A553152" w:rsidR="00B40ECE" w:rsidRDefault="00B40ECE" w:rsidP="00B40ECE">
            <w:r>
              <w:t xml:space="preserve">Targets for 5C </w:t>
            </w:r>
            <w:r>
              <w:rPr>
                <w:rFonts w:cstheme="minorHAnsi"/>
              </w:rPr>
              <w:t>≤</w:t>
            </w:r>
          </w:p>
        </w:tc>
        <w:tc>
          <w:tcPr>
            <w:tcW w:w="1283" w:type="dxa"/>
          </w:tcPr>
          <w:p w14:paraId="00655DE9" w14:textId="1C762552" w:rsidR="00B40ECE" w:rsidRDefault="00B40ECE" w:rsidP="00B40ECE">
            <w:pPr>
              <w:jc w:val="center"/>
            </w:pPr>
            <w:r>
              <w:t>1.80%</w:t>
            </w:r>
          </w:p>
        </w:tc>
        <w:tc>
          <w:tcPr>
            <w:tcW w:w="1284" w:type="dxa"/>
          </w:tcPr>
          <w:p w14:paraId="4BD065FF" w14:textId="391F42F3" w:rsidR="00B40ECE" w:rsidRDefault="00B40ECE" w:rsidP="00B40ECE">
            <w:pPr>
              <w:jc w:val="center"/>
            </w:pPr>
            <w:r>
              <w:t>1.70%</w:t>
            </w:r>
          </w:p>
        </w:tc>
        <w:tc>
          <w:tcPr>
            <w:tcW w:w="1284" w:type="dxa"/>
          </w:tcPr>
          <w:p w14:paraId="14E5C3E1" w14:textId="76F7DAB5" w:rsidR="00B40ECE" w:rsidRDefault="00B40ECE" w:rsidP="00B40ECE">
            <w:pPr>
              <w:jc w:val="center"/>
            </w:pPr>
            <w:r>
              <w:t>1.60%</w:t>
            </w:r>
          </w:p>
        </w:tc>
        <w:tc>
          <w:tcPr>
            <w:tcW w:w="1283" w:type="dxa"/>
          </w:tcPr>
          <w:p w14:paraId="4D98413D" w14:textId="74A39B83" w:rsidR="00B40ECE" w:rsidRDefault="00B40ECE" w:rsidP="00B40ECE">
            <w:pPr>
              <w:jc w:val="center"/>
            </w:pPr>
            <w:r>
              <w:t>1.60%</w:t>
            </w:r>
          </w:p>
        </w:tc>
        <w:tc>
          <w:tcPr>
            <w:tcW w:w="1284" w:type="dxa"/>
          </w:tcPr>
          <w:p w14:paraId="650BAB55" w14:textId="4E262C38" w:rsidR="00B40ECE" w:rsidRDefault="00B40ECE" w:rsidP="00B40ECE">
            <w:pPr>
              <w:jc w:val="center"/>
            </w:pPr>
            <w:r>
              <w:t>1.50%</w:t>
            </w:r>
          </w:p>
        </w:tc>
        <w:tc>
          <w:tcPr>
            <w:tcW w:w="1284" w:type="dxa"/>
          </w:tcPr>
          <w:p w14:paraId="0BB8C47B" w14:textId="2808D02F" w:rsidR="00B40ECE" w:rsidRDefault="00B40ECE" w:rsidP="00B40ECE">
            <w:pPr>
              <w:jc w:val="center"/>
            </w:pPr>
            <w:r>
              <w:t>1.40%</w:t>
            </w:r>
          </w:p>
        </w:tc>
      </w:tr>
    </w:tbl>
    <w:p w14:paraId="2EB33A43" w14:textId="23E47598" w:rsidR="2684202B" w:rsidRDefault="2684202B" w:rsidP="004B1A85">
      <w:pPr>
        <w:spacing w:before="120" w:line="240" w:lineRule="auto"/>
        <w:rPr>
          <w:rFonts w:ascii="Calibri" w:eastAsia="Calibri" w:hAnsi="Calibri" w:cs="Calibri"/>
          <w:color w:val="000000" w:themeColor="text1"/>
          <w:sz w:val="24"/>
          <w:szCs w:val="24"/>
        </w:rPr>
      </w:pPr>
      <w:r w:rsidRPr="21770B4B">
        <w:rPr>
          <w:rFonts w:ascii="Calibri" w:eastAsia="Calibri" w:hAnsi="Calibri" w:cs="Calibri"/>
          <w:color w:val="000000" w:themeColor="text1"/>
          <w:sz w:val="24"/>
          <w:szCs w:val="24"/>
        </w:rPr>
        <w:t xml:space="preserve">Example B shows more </w:t>
      </w:r>
      <w:r w:rsidR="004B1A85">
        <w:rPr>
          <w:rFonts w:ascii="Calibri" w:eastAsia="Calibri" w:hAnsi="Calibri" w:cs="Calibri"/>
          <w:color w:val="000000" w:themeColor="text1"/>
          <w:sz w:val="24"/>
          <w:szCs w:val="24"/>
        </w:rPr>
        <w:t>ambitious improvement</w:t>
      </w:r>
      <w:r w:rsidRPr="21770B4B">
        <w:rPr>
          <w:rFonts w:ascii="Calibri" w:eastAsia="Calibri" w:hAnsi="Calibri" w:cs="Calibri"/>
          <w:color w:val="000000" w:themeColor="text1"/>
          <w:sz w:val="24"/>
          <w:szCs w:val="24"/>
        </w:rPr>
        <w:t>.</w:t>
      </w:r>
    </w:p>
    <w:p w14:paraId="34338265" w14:textId="77777777" w:rsidR="0098789A" w:rsidRDefault="00585E53" w:rsidP="006B64E1">
      <w:pPr>
        <w:spacing w:after="0" w:line="240" w:lineRule="auto"/>
        <w:jc w:val="center"/>
        <w:rPr>
          <w:rFonts w:ascii="Calibri" w:eastAsia="Calibri" w:hAnsi="Calibri" w:cs="Calibri"/>
          <w:b/>
          <w:color w:val="407641"/>
        </w:rPr>
      </w:pPr>
      <w:r w:rsidRPr="00585E53">
        <w:rPr>
          <w:rFonts w:ascii="Calibri" w:eastAsia="Calibri" w:hAnsi="Calibri" w:cs="Calibri"/>
          <w:b/>
          <w:color w:val="407641"/>
        </w:rPr>
        <w:t>If you need more information in order t</w:t>
      </w:r>
      <w:r w:rsidR="0098789A">
        <w:rPr>
          <w:rFonts w:ascii="Calibri" w:eastAsia="Calibri" w:hAnsi="Calibri" w:cs="Calibri"/>
          <w:b/>
          <w:color w:val="407641"/>
        </w:rPr>
        <w:t>o provide input, please contact:</w:t>
      </w:r>
    </w:p>
    <w:p w14:paraId="3E60CB3D" w14:textId="60B4E586" w:rsidR="003429A7" w:rsidRDefault="00EA562A" w:rsidP="006B64E1">
      <w:pPr>
        <w:spacing w:after="0" w:line="240" w:lineRule="auto"/>
        <w:jc w:val="center"/>
        <w:rPr>
          <w:rFonts w:ascii="Calibri" w:eastAsia="Calibri" w:hAnsi="Calibri" w:cs="Calibri"/>
          <w:b/>
          <w:color w:val="000000" w:themeColor="text1"/>
        </w:rPr>
      </w:pPr>
      <w:r w:rsidRPr="6DA97DB0">
        <w:rPr>
          <w:rFonts w:ascii="Calibri" w:eastAsia="Calibri" w:hAnsi="Calibri" w:cs="Calibri"/>
          <w:b/>
          <w:bCs/>
          <w:color w:val="407641"/>
        </w:rPr>
        <w:t>Rae Ann Ray</w:t>
      </w:r>
      <w:r w:rsidR="00585E53" w:rsidRPr="6DA97DB0">
        <w:rPr>
          <w:rFonts w:ascii="Calibri" w:eastAsia="Calibri" w:hAnsi="Calibri" w:cs="Calibri"/>
          <w:b/>
          <w:bCs/>
          <w:color w:val="407641"/>
        </w:rPr>
        <w:t xml:space="preserve">, </w:t>
      </w:r>
      <w:r w:rsidRPr="6DA97DB0">
        <w:rPr>
          <w:rFonts w:ascii="Calibri" w:eastAsia="Calibri" w:hAnsi="Calibri" w:cs="Calibri"/>
          <w:b/>
          <w:bCs/>
          <w:color w:val="407641"/>
        </w:rPr>
        <w:t>Education Specialist</w:t>
      </w:r>
      <w:r w:rsidR="00585E53" w:rsidRPr="6DA97DB0">
        <w:rPr>
          <w:rFonts w:ascii="Calibri" w:eastAsia="Calibri" w:hAnsi="Calibri" w:cs="Calibri"/>
          <w:b/>
          <w:bCs/>
          <w:color w:val="407641"/>
        </w:rPr>
        <w:t>, at</w:t>
      </w:r>
      <w:r w:rsidR="00585E53" w:rsidRPr="6DA97DB0">
        <w:rPr>
          <w:b/>
          <w:bCs/>
        </w:rPr>
        <w:t xml:space="preserve"> </w:t>
      </w:r>
      <w:hyperlink r:id="rId18">
        <w:r w:rsidR="0098789A" w:rsidRPr="6DA97DB0">
          <w:rPr>
            <w:rStyle w:val="Hyperlink"/>
            <w:rFonts w:ascii="Calibri" w:eastAsia="Calibri" w:hAnsi="Calibri" w:cs="Calibri"/>
            <w:b/>
            <w:bCs/>
          </w:rPr>
          <w:t>raeann.ray@state.or.us</w:t>
        </w:r>
      </w:hyperlink>
    </w:p>
    <w:p w14:paraId="7C6663B4" w14:textId="77777777" w:rsidR="003429A7" w:rsidRPr="003429A7" w:rsidRDefault="003429A7" w:rsidP="003429A7">
      <w:pPr>
        <w:rPr>
          <w:rFonts w:ascii="Calibri" w:eastAsia="Calibri" w:hAnsi="Calibri" w:cs="Calibri"/>
        </w:rPr>
      </w:pPr>
    </w:p>
    <w:p w14:paraId="16D61DE0" w14:textId="5E40FC4D" w:rsidR="21770B4B" w:rsidRPr="003429A7" w:rsidRDefault="003429A7" w:rsidP="003429A7">
      <w:pPr>
        <w:tabs>
          <w:tab w:val="left" w:pos="4062"/>
        </w:tabs>
        <w:rPr>
          <w:rFonts w:ascii="Calibri" w:eastAsia="Calibri" w:hAnsi="Calibri" w:cs="Calibri"/>
        </w:rPr>
      </w:pPr>
      <w:r>
        <w:rPr>
          <w:rFonts w:ascii="Calibri" w:eastAsia="Calibri" w:hAnsi="Calibri" w:cs="Calibri"/>
        </w:rPr>
        <w:lastRenderedPageBreak/>
        <w:tab/>
      </w:r>
    </w:p>
    <w:sectPr w:rsidR="21770B4B" w:rsidRPr="003429A7" w:rsidSect="006A1017">
      <w:footerReference w:type="default" r:id="rId19"/>
      <w:pgSz w:w="12240" w:h="15840" w:code="1"/>
      <w:pgMar w:top="720" w:right="1152" w:bottom="864" w:left="1152" w:header="720" w:footer="432"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363537E2" w16cex:dateUtc="2021-09-30T16:48:29.124Z"/>
  <w16cex:commentExtensible w16cex:durableId="46CE6486" w16cex:dateUtc="2021-10-22T21:55:05.376Z"/>
  <w16cex:commentExtensible w16cex:durableId="1AFBCB9A" w16cex:dateUtc="2021-10-28T15:05:10.219Z"/>
  <w16cex:commentExtensible w16cex:durableId="0C2C3FF5" w16cex:dateUtc="2021-10-28T19:18:02.737Z"/>
  <w16cex:commentExtensible w16cex:durableId="398578AB" w16cex:dateUtc="2021-10-29T16:00:53.386Z"/>
</w16cex:commentsExtensible>
</file>

<file path=word/commentsIds.xml><?xml version="1.0" encoding="utf-8"?>
<w16cid:commentsIds xmlns:mc="http://schemas.openxmlformats.org/markup-compatibility/2006" xmlns:w16cid="http://schemas.microsoft.com/office/word/2016/wordml/cid" mc:Ignorable="w16cid">
  <w16cid:commentId w16cid:paraId="3ED90CD6" w16cid:durableId="363537E2"/>
  <w16cid:commentId w16cid:paraId="7364AADD" w16cid:durableId="46CE6486"/>
  <w16cid:commentId w16cid:paraId="3C174CDE" w16cid:durableId="1AFBCB9A"/>
  <w16cid:commentId w16cid:paraId="41BB6592" w16cid:durableId="0C2C3FF5"/>
  <w16cid:commentId w16cid:paraId="43192F89" w16cid:durableId="398578A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47DDA1" w14:textId="77777777" w:rsidR="007911BE" w:rsidRDefault="007911BE" w:rsidP="00A015AF">
      <w:pPr>
        <w:spacing w:after="0" w:line="240" w:lineRule="auto"/>
      </w:pPr>
      <w:r>
        <w:separator/>
      </w:r>
    </w:p>
  </w:endnote>
  <w:endnote w:type="continuationSeparator" w:id="0">
    <w:p w14:paraId="6F55CFDA" w14:textId="77777777" w:rsidR="007911BE" w:rsidRDefault="007911BE" w:rsidP="00A015AF">
      <w:pPr>
        <w:spacing w:after="0" w:line="240" w:lineRule="auto"/>
      </w:pPr>
      <w:r>
        <w:continuationSeparator/>
      </w:r>
    </w:p>
  </w:endnote>
  <w:endnote w:type="continuationNotice" w:id="1">
    <w:p w14:paraId="7564D686" w14:textId="77777777" w:rsidR="007911BE" w:rsidRDefault="007911B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8A9893" w14:textId="07605158" w:rsidR="003429A7" w:rsidRDefault="003429A7">
    <w:pPr>
      <w:pStyle w:val="Footer"/>
    </w:pPr>
    <w:r>
      <w:t>State Performance Plan Fact Sheet – Indicator B5</w:t>
    </w:r>
    <w:r>
      <w:tab/>
    </w:r>
    <w:r>
      <w:tab/>
    </w:r>
    <w:r>
      <w:fldChar w:fldCharType="begin"/>
    </w:r>
    <w:r>
      <w:instrText xml:space="preserve"> PAGE   \* MERGEFORMAT </w:instrText>
    </w:r>
    <w:r>
      <w:fldChar w:fldCharType="separate"/>
    </w:r>
    <w:r w:rsidR="00552E67">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EB640C" w14:textId="77777777" w:rsidR="007911BE" w:rsidRDefault="007911BE" w:rsidP="00A015AF">
      <w:pPr>
        <w:spacing w:after="0" w:line="240" w:lineRule="auto"/>
      </w:pPr>
      <w:r>
        <w:separator/>
      </w:r>
    </w:p>
  </w:footnote>
  <w:footnote w:type="continuationSeparator" w:id="0">
    <w:p w14:paraId="79B839C5" w14:textId="77777777" w:rsidR="007911BE" w:rsidRDefault="007911BE" w:rsidP="00A015AF">
      <w:pPr>
        <w:spacing w:after="0" w:line="240" w:lineRule="auto"/>
      </w:pPr>
      <w:r>
        <w:continuationSeparator/>
      </w:r>
    </w:p>
  </w:footnote>
  <w:footnote w:type="continuationNotice" w:id="1">
    <w:p w14:paraId="60C46F63" w14:textId="77777777" w:rsidR="007911BE" w:rsidRDefault="007911BE">
      <w:pPr>
        <w:spacing w:after="0" w:line="240" w:lineRule="auto"/>
      </w:pPr>
    </w:p>
  </w:footnote>
  <w:footnote w:id="2">
    <w:p w14:paraId="7D2E7316" w14:textId="3189D450" w:rsidR="00B74338" w:rsidRPr="00053B0A" w:rsidRDefault="00B74338" w:rsidP="00B74338">
      <w:pPr>
        <w:pStyle w:val="FootnoteText"/>
        <w:rPr>
          <w:sz w:val="18"/>
        </w:rPr>
      </w:pPr>
      <w:r w:rsidRPr="00053B0A">
        <w:rPr>
          <w:rStyle w:val="FootnoteReference"/>
          <w:sz w:val="18"/>
        </w:rPr>
        <w:footnoteRef/>
      </w:r>
      <w:r w:rsidRPr="00053B0A">
        <w:rPr>
          <w:sz w:val="18"/>
        </w:rPr>
        <w:t xml:space="preserve"> Information in this section was adapted from: Center for Parent Information &amp; Resources. (n.d.). Considering LRE in placement decisions. Retrieved from </w:t>
      </w:r>
      <w:hyperlink r:id="rId1" w:history="1">
        <w:r w:rsidRPr="00053B0A">
          <w:rPr>
            <w:rStyle w:val="Hyperlink"/>
            <w:sz w:val="18"/>
          </w:rPr>
          <w:t>https://www.parentcenterhub.org/placement-lre/</w:t>
        </w:r>
      </w:hyperlink>
      <w:r w:rsidRPr="00053B0A">
        <w:rPr>
          <w:sz w:val="18"/>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72DEF"/>
    <w:multiLevelType w:val="hybridMultilevel"/>
    <w:tmpl w:val="B614A036"/>
    <w:lvl w:ilvl="0" w:tplc="D442A77C">
      <w:start w:val="1"/>
      <w:numFmt w:val="bullet"/>
      <w:lvlText w:val=""/>
      <w:lvlJc w:val="left"/>
      <w:pPr>
        <w:ind w:left="720" w:hanging="360"/>
      </w:pPr>
      <w:rPr>
        <w:rFonts w:ascii="Symbol" w:hAnsi="Symbol" w:hint="default"/>
      </w:rPr>
    </w:lvl>
    <w:lvl w:ilvl="1" w:tplc="DC6CCE7E">
      <w:start w:val="1"/>
      <w:numFmt w:val="bullet"/>
      <w:lvlText w:val="o"/>
      <w:lvlJc w:val="left"/>
      <w:pPr>
        <w:ind w:left="1440" w:hanging="360"/>
      </w:pPr>
      <w:rPr>
        <w:rFonts w:ascii="Courier New" w:hAnsi="Courier New" w:hint="default"/>
      </w:rPr>
    </w:lvl>
    <w:lvl w:ilvl="2" w:tplc="3DDEB66C">
      <w:start w:val="1"/>
      <w:numFmt w:val="bullet"/>
      <w:lvlText w:val=""/>
      <w:lvlJc w:val="left"/>
      <w:pPr>
        <w:ind w:left="2160" w:hanging="360"/>
      </w:pPr>
      <w:rPr>
        <w:rFonts w:ascii="Wingdings" w:hAnsi="Wingdings" w:hint="default"/>
      </w:rPr>
    </w:lvl>
    <w:lvl w:ilvl="3" w:tplc="BB16B2AC">
      <w:start w:val="1"/>
      <w:numFmt w:val="bullet"/>
      <w:lvlText w:val=""/>
      <w:lvlJc w:val="left"/>
      <w:pPr>
        <w:ind w:left="2880" w:hanging="360"/>
      </w:pPr>
      <w:rPr>
        <w:rFonts w:ascii="Symbol" w:hAnsi="Symbol" w:hint="default"/>
      </w:rPr>
    </w:lvl>
    <w:lvl w:ilvl="4" w:tplc="017EBCD8">
      <w:start w:val="1"/>
      <w:numFmt w:val="bullet"/>
      <w:lvlText w:val="o"/>
      <w:lvlJc w:val="left"/>
      <w:pPr>
        <w:ind w:left="3600" w:hanging="360"/>
      </w:pPr>
      <w:rPr>
        <w:rFonts w:ascii="Courier New" w:hAnsi="Courier New" w:hint="default"/>
      </w:rPr>
    </w:lvl>
    <w:lvl w:ilvl="5" w:tplc="1EE46AC2">
      <w:start w:val="1"/>
      <w:numFmt w:val="bullet"/>
      <w:lvlText w:val=""/>
      <w:lvlJc w:val="left"/>
      <w:pPr>
        <w:ind w:left="4320" w:hanging="360"/>
      </w:pPr>
      <w:rPr>
        <w:rFonts w:ascii="Wingdings" w:hAnsi="Wingdings" w:hint="default"/>
      </w:rPr>
    </w:lvl>
    <w:lvl w:ilvl="6" w:tplc="0ACA4422">
      <w:start w:val="1"/>
      <w:numFmt w:val="bullet"/>
      <w:lvlText w:val=""/>
      <w:lvlJc w:val="left"/>
      <w:pPr>
        <w:ind w:left="5040" w:hanging="360"/>
      </w:pPr>
      <w:rPr>
        <w:rFonts w:ascii="Symbol" w:hAnsi="Symbol" w:hint="default"/>
      </w:rPr>
    </w:lvl>
    <w:lvl w:ilvl="7" w:tplc="5BAAED6E">
      <w:start w:val="1"/>
      <w:numFmt w:val="bullet"/>
      <w:lvlText w:val="o"/>
      <w:lvlJc w:val="left"/>
      <w:pPr>
        <w:ind w:left="5760" w:hanging="360"/>
      </w:pPr>
      <w:rPr>
        <w:rFonts w:ascii="Courier New" w:hAnsi="Courier New" w:hint="default"/>
      </w:rPr>
    </w:lvl>
    <w:lvl w:ilvl="8" w:tplc="41F23FB4">
      <w:start w:val="1"/>
      <w:numFmt w:val="bullet"/>
      <w:lvlText w:val=""/>
      <w:lvlJc w:val="left"/>
      <w:pPr>
        <w:ind w:left="6480" w:hanging="360"/>
      </w:pPr>
      <w:rPr>
        <w:rFonts w:ascii="Wingdings" w:hAnsi="Wingdings" w:hint="default"/>
      </w:rPr>
    </w:lvl>
  </w:abstractNum>
  <w:abstractNum w:abstractNumId="1" w15:restartNumberingAfterBreak="0">
    <w:nsid w:val="088E6D0A"/>
    <w:multiLevelType w:val="hybridMultilevel"/>
    <w:tmpl w:val="CB366504"/>
    <w:lvl w:ilvl="0" w:tplc="D9485534">
      <w:start w:val="1"/>
      <w:numFmt w:val="decimal"/>
      <w:lvlText w:val="%1."/>
      <w:lvlJc w:val="left"/>
      <w:pPr>
        <w:ind w:left="720" w:hanging="360"/>
      </w:pPr>
    </w:lvl>
    <w:lvl w:ilvl="1" w:tplc="06E24E52">
      <w:start w:val="1"/>
      <w:numFmt w:val="lowerLetter"/>
      <w:lvlText w:val="%2."/>
      <w:lvlJc w:val="left"/>
      <w:pPr>
        <w:ind w:left="1440" w:hanging="360"/>
      </w:pPr>
    </w:lvl>
    <w:lvl w:ilvl="2" w:tplc="0ADAABC6">
      <w:start w:val="1"/>
      <w:numFmt w:val="lowerRoman"/>
      <w:lvlText w:val="%3."/>
      <w:lvlJc w:val="right"/>
      <w:pPr>
        <w:ind w:left="2160" w:hanging="180"/>
      </w:pPr>
    </w:lvl>
    <w:lvl w:ilvl="3" w:tplc="6EBC895C">
      <w:start w:val="1"/>
      <w:numFmt w:val="decimal"/>
      <w:lvlText w:val="%4."/>
      <w:lvlJc w:val="left"/>
      <w:pPr>
        <w:ind w:left="2880" w:hanging="360"/>
      </w:pPr>
    </w:lvl>
    <w:lvl w:ilvl="4" w:tplc="17C66768">
      <w:start w:val="1"/>
      <w:numFmt w:val="lowerLetter"/>
      <w:lvlText w:val="%5."/>
      <w:lvlJc w:val="left"/>
      <w:pPr>
        <w:ind w:left="3600" w:hanging="360"/>
      </w:pPr>
    </w:lvl>
    <w:lvl w:ilvl="5" w:tplc="9334BD54">
      <w:start w:val="1"/>
      <w:numFmt w:val="lowerRoman"/>
      <w:lvlText w:val="%6."/>
      <w:lvlJc w:val="right"/>
      <w:pPr>
        <w:ind w:left="4320" w:hanging="180"/>
      </w:pPr>
    </w:lvl>
    <w:lvl w:ilvl="6" w:tplc="CA7E028E">
      <w:start w:val="1"/>
      <w:numFmt w:val="decimal"/>
      <w:lvlText w:val="%7."/>
      <w:lvlJc w:val="left"/>
      <w:pPr>
        <w:ind w:left="5040" w:hanging="360"/>
      </w:pPr>
    </w:lvl>
    <w:lvl w:ilvl="7" w:tplc="63CC1BD8">
      <w:start w:val="1"/>
      <w:numFmt w:val="lowerLetter"/>
      <w:lvlText w:val="%8."/>
      <w:lvlJc w:val="left"/>
      <w:pPr>
        <w:ind w:left="5760" w:hanging="360"/>
      </w:pPr>
    </w:lvl>
    <w:lvl w:ilvl="8" w:tplc="8E7CBC80">
      <w:start w:val="1"/>
      <w:numFmt w:val="lowerRoman"/>
      <w:lvlText w:val="%9."/>
      <w:lvlJc w:val="right"/>
      <w:pPr>
        <w:ind w:left="6480" w:hanging="180"/>
      </w:pPr>
    </w:lvl>
  </w:abstractNum>
  <w:abstractNum w:abstractNumId="2" w15:restartNumberingAfterBreak="0">
    <w:nsid w:val="1A9507BA"/>
    <w:multiLevelType w:val="hybridMultilevel"/>
    <w:tmpl w:val="103C20F4"/>
    <w:lvl w:ilvl="0" w:tplc="9A6235A4">
      <w:start w:val="1"/>
      <w:numFmt w:val="bullet"/>
      <w:lvlText w:val=""/>
      <w:lvlJc w:val="left"/>
      <w:pPr>
        <w:ind w:left="720" w:hanging="360"/>
      </w:pPr>
      <w:rPr>
        <w:rFonts w:ascii="Symbol" w:hAnsi="Symbol" w:hint="default"/>
      </w:rPr>
    </w:lvl>
    <w:lvl w:ilvl="1" w:tplc="5AE45B18">
      <w:start w:val="1"/>
      <w:numFmt w:val="bullet"/>
      <w:lvlText w:val="o"/>
      <w:lvlJc w:val="left"/>
      <w:pPr>
        <w:ind w:left="1440" w:hanging="360"/>
      </w:pPr>
      <w:rPr>
        <w:rFonts w:ascii="Courier New" w:hAnsi="Courier New" w:hint="default"/>
      </w:rPr>
    </w:lvl>
    <w:lvl w:ilvl="2" w:tplc="43208416">
      <w:start w:val="1"/>
      <w:numFmt w:val="bullet"/>
      <w:lvlText w:val=""/>
      <w:lvlJc w:val="left"/>
      <w:pPr>
        <w:ind w:left="2160" w:hanging="360"/>
      </w:pPr>
      <w:rPr>
        <w:rFonts w:ascii="Wingdings" w:hAnsi="Wingdings" w:hint="default"/>
      </w:rPr>
    </w:lvl>
    <w:lvl w:ilvl="3" w:tplc="9ED61AF4">
      <w:start w:val="1"/>
      <w:numFmt w:val="bullet"/>
      <w:lvlText w:val=""/>
      <w:lvlJc w:val="left"/>
      <w:pPr>
        <w:ind w:left="2880" w:hanging="360"/>
      </w:pPr>
      <w:rPr>
        <w:rFonts w:ascii="Symbol" w:hAnsi="Symbol" w:hint="default"/>
      </w:rPr>
    </w:lvl>
    <w:lvl w:ilvl="4" w:tplc="6FCEAAF2">
      <w:start w:val="1"/>
      <w:numFmt w:val="bullet"/>
      <w:lvlText w:val="o"/>
      <w:lvlJc w:val="left"/>
      <w:pPr>
        <w:ind w:left="3600" w:hanging="360"/>
      </w:pPr>
      <w:rPr>
        <w:rFonts w:ascii="Courier New" w:hAnsi="Courier New" w:hint="default"/>
      </w:rPr>
    </w:lvl>
    <w:lvl w:ilvl="5" w:tplc="BBC63AAA">
      <w:start w:val="1"/>
      <w:numFmt w:val="bullet"/>
      <w:lvlText w:val=""/>
      <w:lvlJc w:val="left"/>
      <w:pPr>
        <w:ind w:left="4320" w:hanging="360"/>
      </w:pPr>
      <w:rPr>
        <w:rFonts w:ascii="Wingdings" w:hAnsi="Wingdings" w:hint="default"/>
      </w:rPr>
    </w:lvl>
    <w:lvl w:ilvl="6" w:tplc="1ADCD408">
      <w:start w:val="1"/>
      <w:numFmt w:val="bullet"/>
      <w:lvlText w:val=""/>
      <w:lvlJc w:val="left"/>
      <w:pPr>
        <w:ind w:left="5040" w:hanging="360"/>
      </w:pPr>
      <w:rPr>
        <w:rFonts w:ascii="Symbol" w:hAnsi="Symbol" w:hint="default"/>
      </w:rPr>
    </w:lvl>
    <w:lvl w:ilvl="7" w:tplc="F57E92FA">
      <w:start w:val="1"/>
      <w:numFmt w:val="bullet"/>
      <w:lvlText w:val="o"/>
      <w:lvlJc w:val="left"/>
      <w:pPr>
        <w:ind w:left="5760" w:hanging="360"/>
      </w:pPr>
      <w:rPr>
        <w:rFonts w:ascii="Courier New" w:hAnsi="Courier New" w:hint="default"/>
      </w:rPr>
    </w:lvl>
    <w:lvl w:ilvl="8" w:tplc="1EB6848C">
      <w:start w:val="1"/>
      <w:numFmt w:val="bullet"/>
      <w:lvlText w:val=""/>
      <w:lvlJc w:val="left"/>
      <w:pPr>
        <w:ind w:left="6480" w:hanging="360"/>
      </w:pPr>
      <w:rPr>
        <w:rFonts w:ascii="Wingdings" w:hAnsi="Wingdings" w:hint="default"/>
      </w:rPr>
    </w:lvl>
  </w:abstractNum>
  <w:abstractNum w:abstractNumId="3" w15:restartNumberingAfterBreak="0">
    <w:nsid w:val="21190251"/>
    <w:multiLevelType w:val="hybridMultilevel"/>
    <w:tmpl w:val="F64EB6AE"/>
    <w:lvl w:ilvl="0" w:tplc="9FC8314A">
      <w:start w:val="1"/>
      <w:numFmt w:val="decimal"/>
      <w:lvlText w:val="%1."/>
      <w:lvlJc w:val="left"/>
      <w:pPr>
        <w:ind w:left="720" w:hanging="360"/>
      </w:pPr>
    </w:lvl>
    <w:lvl w:ilvl="1" w:tplc="620E3B7A">
      <w:start w:val="1"/>
      <w:numFmt w:val="lowerLetter"/>
      <w:lvlText w:val="%2."/>
      <w:lvlJc w:val="left"/>
      <w:pPr>
        <w:ind w:left="1440" w:hanging="360"/>
      </w:pPr>
    </w:lvl>
    <w:lvl w:ilvl="2" w:tplc="105279A0">
      <w:start w:val="1"/>
      <w:numFmt w:val="lowerRoman"/>
      <w:lvlText w:val="%3."/>
      <w:lvlJc w:val="right"/>
      <w:pPr>
        <w:ind w:left="2160" w:hanging="180"/>
      </w:pPr>
    </w:lvl>
    <w:lvl w:ilvl="3" w:tplc="90D8484C">
      <w:start w:val="1"/>
      <w:numFmt w:val="decimal"/>
      <w:lvlText w:val="%4."/>
      <w:lvlJc w:val="left"/>
      <w:pPr>
        <w:ind w:left="2880" w:hanging="360"/>
      </w:pPr>
    </w:lvl>
    <w:lvl w:ilvl="4" w:tplc="D77E7944">
      <w:start w:val="1"/>
      <w:numFmt w:val="lowerLetter"/>
      <w:lvlText w:val="%5."/>
      <w:lvlJc w:val="left"/>
      <w:pPr>
        <w:ind w:left="3600" w:hanging="360"/>
      </w:pPr>
    </w:lvl>
    <w:lvl w:ilvl="5" w:tplc="B832E7AE">
      <w:start w:val="1"/>
      <w:numFmt w:val="lowerRoman"/>
      <w:lvlText w:val="%6."/>
      <w:lvlJc w:val="right"/>
      <w:pPr>
        <w:ind w:left="4320" w:hanging="180"/>
      </w:pPr>
    </w:lvl>
    <w:lvl w:ilvl="6" w:tplc="7C1A6136">
      <w:start w:val="1"/>
      <w:numFmt w:val="decimal"/>
      <w:lvlText w:val="%7."/>
      <w:lvlJc w:val="left"/>
      <w:pPr>
        <w:ind w:left="5040" w:hanging="360"/>
      </w:pPr>
    </w:lvl>
    <w:lvl w:ilvl="7" w:tplc="CF5E0548">
      <w:start w:val="1"/>
      <w:numFmt w:val="lowerLetter"/>
      <w:lvlText w:val="%8."/>
      <w:lvlJc w:val="left"/>
      <w:pPr>
        <w:ind w:left="5760" w:hanging="360"/>
      </w:pPr>
    </w:lvl>
    <w:lvl w:ilvl="8" w:tplc="DCE84088">
      <w:start w:val="1"/>
      <w:numFmt w:val="lowerRoman"/>
      <w:lvlText w:val="%9."/>
      <w:lvlJc w:val="right"/>
      <w:pPr>
        <w:ind w:left="6480" w:hanging="180"/>
      </w:pPr>
    </w:lvl>
  </w:abstractNum>
  <w:abstractNum w:abstractNumId="4" w15:restartNumberingAfterBreak="0">
    <w:nsid w:val="21E6376E"/>
    <w:multiLevelType w:val="hybridMultilevel"/>
    <w:tmpl w:val="584CEB0C"/>
    <w:lvl w:ilvl="0" w:tplc="EEE0BDFC">
      <w:start w:val="1"/>
      <w:numFmt w:val="bullet"/>
      <w:lvlText w:val=""/>
      <w:lvlJc w:val="left"/>
      <w:pPr>
        <w:ind w:left="720" w:hanging="360"/>
      </w:pPr>
      <w:rPr>
        <w:rFonts w:ascii="Symbol" w:hAnsi="Symbol" w:hint="default"/>
      </w:rPr>
    </w:lvl>
    <w:lvl w:ilvl="1" w:tplc="F7841D52">
      <w:start w:val="1"/>
      <w:numFmt w:val="bullet"/>
      <w:lvlText w:val="o"/>
      <w:lvlJc w:val="left"/>
      <w:pPr>
        <w:ind w:left="1440" w:hanging="360"/>
      </w:pPr>
      <w:rPr>
        <w:rFonts w:ascii="Courier New" w:hAnsi="Courier New" w:hint="default"/>
      </w:rPr>
    </w:lvl>
    <w:lvl w:ilvl="2" w:tplc="4BA66D66">
      <w:start w:val="1"/>
      <w:numFmt w:val="bullet"/>
      <w:lvlText w:val=""/>
      <w:lvlJc w:val="left"/>
      <w:pPr>
        <w:ind w:left="2160" w:hanging="360"/>
      </w:pPr>
      <w:rPr>
        <w:rFonts w:ascii="Wingdings" w:hAnsi="Wingdings" w:hint="default"/>
      </w:rPr>
    </w:lvl>
    <w:lvl w:ilvl="3" w:tplc="6082BDB6">
      <w:start w:val="1"/>
      <w:numFmt w:val="bullet"/>
      <w:lvlText w:val=""/>
      <w:lvlJc w:val="left"/>
      <w:pPr>
        <w:ind w:left="2880" w:hanging="360"/>
      </w:pPr>
      <w:rPr>
        <w:rFonts w:ascii="Symbol" w:hAnsi="Symbol" w:hint="default"/>
      </w:rPr>
    </w:lvl>
    <w:lvl w:ilvl="4" w:tplc="924A8938">
      <w:start w:val="1"/>
      <w:numFmt w:val="bullet"/>
      <w:lvlText w:val="o"/>
      <w:lvlJc w:val="left"/>
      <w:pPr>
        <w:ind w:left="3600" w:hanging="360"/>
      </w:pPr>
      <w:rPr>
        <w:rFonts w:ascii="Courier New" w:hAnsi="Courier New" w:hint="default"/>
      </w:rPr>
    </w:lvl>
    <w:lvl w:ilvl="5" w:tplc="A1945BA0">
      <w:start w:val="1"/>
      <w:numFmt w:val="bullet"/>
      <w:lvlText w:val=""/>
      <w:lvlJc w:val="left"/>
      <w:pPr>
        <w:ind w:left="4320" w:hanging="360"/>
      </w:pPr>
      <w:rPr>
        <w:rFonts w:ascii="Wingdings" w:hAnsi="Wingdings" w:hint="default"/>
      </w:rPr>
    </w:lvl>
    <w:lvl w:ilvl="6" w:tplc="8FDA0312">
      <w:start w:val="1"/>
      <w:numFmt w:val="bullet"/>
      <w:lvlText w:val=""/>
      <w:lvlJc w:val="left"/>
      <w:pPr>
        <w:ind w:left="5040" w:hanging="360"/>
      </w:pPr>
      <w:rPr>
        <w:rFonts w:ascii="Symbol" w:hAnsi="Symbol" w:hint="default"/>
      </w:rPr>
    </w:lvl>
    <w:lvl w:ilvl="7" w:tplc="3C2A8DFA">
      <w:start w:val="1"/>
      <w:numFmt w:val="bullet"/>
      <w:lvlText w:val="o"/>
      <w:lvlJc w:val="left"/>
      <w:pPr>
        <w:ind w:left="5760" w:hanging="360"/>
      </w:pPr>
      <w:rPr>
        <w:rFonts w:ascii="Courier New" w:hAnsi="Courier New" w:hint="default"/>
      </w:rPr>
    </w:lvl>
    <w:lvl w:ilvl="8" w:tplc="3C1C784A">
      <w:start w:val="1"/>
      <w:numFmt w:val="bullet"/>
      <w:lvlText w:val=""/>
      <w:lvlJc w:val="left"/>
      <w:pPr>
        <w:ind w:left="6480" w:hanging="360"/>
      </w:pPr>
      <w:rPr>
        <w:rFonts w:ascii="Wingdings" w:hAnsi="Wingdings" w:hint="default"/>
      </w:rPr>
    </w:lvl>
  </w:abstractNum>
  <w:abstractNum w:abstractNumId="5" w15:restartNumberingAfterBreak="0">
    <w:nsid w:val="22C63147"/>
    <w:multiLevelType w:val="hybridMultilevel"/>
    <w:tmpl w:val="610C8B08"/>
    <w:lvl w:ilvl="0" w:tplc="26ACDFB6">
      <w:start w:val="1"/>
      <w:numFmt w:val="bullet"/>
      <w:lvlText w:val=""/>
      <w:lvlJc w:val="left"/>
      <w:pPr>
        <w:ind w:left="720" w:hanging="360"/>
      </w:pPr>
      <w:rPr>
        <w:rFonts w:ascii="Symbol" w:hAnsi="Symbol" w:hint="default"/>
      </w:rPr>
    </w:lvl>
    <w:lvl w:ilvl="1" w:tplc="0008B5A0">
      <w:start w:val="1"/>
      <w:numFmt w:val="bullet"/>
      <w:lvlText w:val="o"/>
      <w:lvlJc w:val="left"/>
      <w:pPr>
        <w:ind w:left="1440" w:hanging="360"/>
      </w:pPr>
      <w:rPr>
        <w:rFonts w:ascii="Courier New" w:hAnsi="Courier New" w:hint="default"/>
      </w:rPr>
    </w:lvl>
    <w:lvl w:ilvl="2" w:tplc="4BA8DB16">
      <w:start w:val="1"/>
      <w:numFmt w:val="bullet"/>
      <w:lvlText w:val=""/>
      <w:lvlJc w:val="left"/>
      <w:pPr>
        <w:ind w:left="2160" w:hanging="360"/>
      </w:pPr>
      <w:rPr>
        <w:rFonts w:ascii="Wingdings" w:hAnsi="Wingdings" w:hint="default"/>
      </w:rPr>
    </w:lvl>
    <w:lvl w:ilvl="3" w:tplc="8CFC1E24">
      <w:start w:val="1"/>
      <w:numFmt w:val="bullet"/>
      <w:lvlText w:val=""/>
      <w:lvlJc w:val="left"/>
      <w:pPr>
        <w:ind w:left="2880" w:hanging="360"/>
      </w:pPr>
      <w:rPr>
        <w:rFonts w:ascii="Symbol" w:hAnsi="Symbol" w:hint="default"/>
      </w:rPr>
    </w:lvl>
    <w:lvl w:ilvl="4" w:tplc="C61EE07C">
      <w:start w:val="1"/>
      <w:numFmt w:val="bullet"/>
      <w:lvlText w:val="o"/>
      <w:lvlJc w:val="left"/>
      <w:pPr>
        <w:ind w:left="3600" w:hanging="360"/>
      </w:pPr>
      <w:rPr>
        <w:rFonts w:ascii="Courier New" w:hAnsi="Courier New" w:hint="default"/>
      </w:rPr>
    </w:lvl>
    <w:lvl w:ilvl="5" w:tplc="71E042D8">
      <w:start w:val="1"/>
      <w:numFmt w:val="bullet"/>
      <w:lvlText w:val=""/>
      <w:lvlJc w:val="left"/>
      <w:pPr>
        <w:ind w:left="4320" w:hanging="360"/>
      </w:pPr>
      <w:rPr>
        <w:rFonts w:ascii="Wingdings" w:hAnsi="Wingdings" w:hint="default"/>
      </w:rPr>
    </w:lvl>
    <w:lvl w:ilvl="6" w:tplc="A71ECD4C">
      <w:start w:val="1"/>
      <w:numFmt w:val="bullet"/>
      <w:lvlText w:val=""/>
      <w:lvlJc w:val="left"/>
      <w:pPr>
        <w:ind w:left="5040" w:hanging="360"/>
      </w:pPr>
      <w:rPr>
        <w:rFonts w:ascii="Symbol" w:hAnsi="Symbol" w:hint="default"/>
      </w:rPr>
    </w:lvl>
    <w:lvl w:ilvl="7" w:tplc="6EE845DE">
      <w:start w:val="1"/>
      <w:numFmt w:val="bullet"/>
      <w:lvlText w:val="o"/>
      <w:lvlJc w:val="left"/>
      <w:pPr>
        <w:ind w:left="5760" w:hanging="360"/>
      </w:pPr>
      <w:rPr>
        <w:rFonts w:ascii="Courier New" w:hAnsi="Courier New" w:hint="default"/>
      </w:rPr>
    </w:lvl>
    <w:lvl w:ilvl="8" w:tplc="DFAE9020">
      <w:start w:val="1"/>
      <w:numFmt w:val="bullet"/>
      <w:lvlText w:val=""/>
      <w:lvlJc w:val="left"/>
      <w:pPr>
        <w:ind w:left="6480" w:hanging="360"/>
      </w:pPr>
      <w:rPr>
        <w:rFonts w:ascii="Wingdings" w:hAnsi="Wingdings" w:hint="default"/>
      </w:rPr>
    </w:lvl>
  </w:abstractNum>
  <w:abstractNum w:abstractNumId="6" w15:restartNumberingAfterBreak="0">
    <w:nsid w:val="23CA2A7C"/>
    <w:multiLevelType w:val="hybridMultilevel"/>
    <w:tmpl w:val="394C8022"/>
    <w:lvl w:ilvl="0" w:tplc="19F2C05A">
      <w:start w:val="1"/>
      <w:numFmt w:val="bullet"/>
      <w:lvlText w:val=""/>
      <w:lvlJc w:val="left"/>
      <w:pPr>
        <w:ind w:left="720" w:hanging="360"/>
      </w:pPr>
      <w:rPr>
        <w:rFonts w:ascii="Symbol" w:hAnsi="Symbol" w:hint="default"/>
      </w:rPr>
    </w:lvl>
    <w:lvl w:ilvl="1" w:tplc="F5FE9DC2">
      <w:start w:val="1"/>
      <w:numFmt w:val="bullet"/>
      <w:lvlText w:val="o"/>
      <w:lvlJc w:val="left"/>
      <w:pPr>
        <w:ind w:left="1440" w:hanging="360"/>
      </w:pPr>
      <w:rPr>
        <w:rFonts w:ascii="Courier New" w:hAnsi="Courier New" w:hint="default"/>
      </w:rPr>
    </w:lvl>
    <w:lvl w:ilvl="2" w:tplc="B3CACB3A">
      <w:start w:val="1"/>
      <w:numFmt w:val="bullet"/>
      <w:lvlText w:val=""/>
      <w:lvlJc w:val="left"/>
      <w:pPr>
        <w:ind w:left="2160" w:hanging="360"/>
      </w:pPr>
      <w:rPr>
        <w:rFonts w:ascii="Wingdings" w:hAnsi="Wingdings" w:hint="default"/>
      </w:rPr>
    </w:lvl>
    <w:lvl w:ilvl="3" w:tplc="186C6452">
      <w:start w:val="1"/>
      <w:numFmt w:val="bullet"/>
      <w:lvlText w:val=""/>
      <w:lvlJc w:val="left"/>
      <w:pPr>
        <w:ind w:left="2880" w:hanging="360"/>
      </w:pPr>
      <w:rPr>
        <w:rFonts w:ascii="Symbol" w:hAnsi="Symbol" w:hint="default"/>
      </w:rPr>
    </w:lvl>
    <w:lvl w:ilvl="4" w:tplc="121281A6">
      <w:start w:val="1"/>
      <w:numFmt w:val="bullet"/>
      <w:lvlText w:val="o"/>
      <w:lvlJc w:val="left"/>
      <w:pPr>
        <w:ind w:left="3600" w:hanging="360"/>
      </w:pPr>
      <w:rPr>
        <w:rFonts w:ascii="Courier New" w:hAnsi="Courier New" w:hint="default"/>
      </w:rPr>
    </w:lvl>
    <w:lvl w:ilvl="5" w:tplc="1FC8C656">
      <w:start w:val="1"/>
      <w:numFmt w:val="bullet"/>
      <w:lvlText w:val=""/>
      <w:lvlJc w:val="left"/>
      <w:pPr>
        <w:ind w:left="4320" w:hanging="360"/>
      </w:pPr>
      <w:rPr>
        <w:rFonts w:ascii="Wingdings" w:hAnsi="Wingdings" w:hint="default"/>
      </w:rPr>
    </w:lvl>
    <w:lvl w:ilvl="6" w:tplc="6B980AEA">
      <w:start w:val="1"/>
      <w:numFmt w:val="bullet"/>
      <w:lvlText w:val=""/>
      <w:lvlJc w:val="left"/>
      <w:pPr>
        <w:ind w:left="5040" w:hanging="360"/>
      </w:pPr>
      <w:rPr>
        <w:rFonts w:ascii="Symbol" w:hAnsi="Symbol" w:hint="default"/>
      </w:rPr>
    </w:lvl>
    <w:lvl w:ilvl="7" w:tplc="1696CBA4">
      <w:start w:val="1"/>
      <w:numFmt w:val="bullet"/>
      <w:lvlText w:val="o"/>
      <w:lvlJc w:val="left"/>
      <w:pPr>
        <w:ind w:left="5760" w:hanging="360"/>
      </w:pPr>
      <w:rPr>
        <w:rFonts w:ascii="Courier New" w:hAnsi="Courier New" w:hint="default"/>
      </w:rPr>
    </w:lvl>
    <w:lvl w:ilvl="8" w:tplc="0A6079DA">
      <w:start w:val="1"/>
      <w:numFmt w:val="bullet"/>
      <w:lvlText w:val=""/>
      <w:lvlJc w:val="left"/>
      <w:pPr>
        <w:ind w:left="6480" w:hanging="360"/>
      </w:pPr>
      <w:rPr>
        <w:rFonts w:ascii="Wingdings" w:hAnsi="Wingdings" w:hint="default"/>
      </w:rPr>
    </w:lvl>
  </w:abstractNum>
  <w:abstractNum w:abstractNumId="7" w15:restartNumberingAfterBreak="0">
    <w:nsid w:val="3B987060"/>
    <w:multiLevelType w:val="hybridMultilevel"/>
    <w:tmpl w:val="BE78B5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C94ADE"/>
    <w:multiLevelType w:val="hybridMultilevel"/>
    <w:tmpl w:val="E2E04F48"/>
    <w:lvl w:ilvl="0" w:tplc="ED183A26">
      <w:start w:val="1"/>
      <w:numFmt w:val="bullet"/>
      <w:lvlText w:val=""/>
      <w:lvlJc w:val="left"/>
      <w:pPr>
        <w:ind w:left="720" w:hanging="360"/>
      </w:pPr>
      <w:rPr>
        <w:rFonts w:ascii="Symbol" w:hAnsi="Symbol" w:hint="default"/>
      </w:rPr>
    </w:lvl>
    <w:lvl w:ilvl="1" w:tplc="30F233CA">
      <w:start w:val="1"/>
      <w:numFmt w:val="bullet"/>
      <w:lvlText w:val="o"/>
      <w:lvlJc w:val="left"/>
      <w:pPr>
        <w:ind w:left="1440" w:hanging="360"/>
      </w:pPr>
      <w:rPr>
        <w:rFonts w:ascii="Courier New" w:hAnsi="Courier New" w:hint="default"/>
      </w:rPr>
    </w:lvl>
    <w:lvl w:ilvl="2" w:tplc="1AC076EA">
      <w:start w:val="1"/>
      <w:numFmt w:val="bullet"/>
      <w:lvlText w:val=""/>
      <w:lvlJc w:val="left"/>
      <w:pPr>
        <w:ind w:left="2160" w:hanging="360"/>
      </w:pPr>
      <w:rPr>
        <w:rFonts w:ascii="Wingdings" w:hAnsi="Wingdings" w:hint="default"/>
      </w:rPr>
    </w:lvl>
    <w:lvl w:ilvl="3" w:tplc="82822380">
      <w:start w:val="1"/>
      <w:numFmt w:val="bullet"/>
      <w:lvlText w:val=""/>
      <w:lvlJc w:val="left"/>
      <w:pPr>
        <w:ind w:left="2880" w:hanging="360"/>
      </w:pPr>
      <w:rPr>
        <w:rFonts w:ascii="Symbol" w:hAnsi="Symbol" w:hint="default"/>
      </w:rPr>
    </w:lvl>
    <w:lvl w:ilvl="4" w:tplc="47BA2106">
      <w:start w:val="1"/>
      <w:numFmt w:val="bullet"/>
      <w:lvlText w:val="o"/>
      <w:lvlJc w:val="left"/>
      <w:pPr>
        <w:ind w:left="3600" w:hanging="360"/>
      </w:pPr>
      <w:rPr>
        <w:rFonts w:ascii="Courier New" w:hAnsi="Courier New" w:hint="default"/>
      </w:rPr>
    </w:lvl>
    <w:lvl w:ilvl="5" w:tplc="65829BD6">
      <w:start w:val="1"/>
      <w:numFmt w:val="bullet"/>
      <w:lvlText w:val=""/>
      <w:lvlJc w:val="left"/>
      <w:pPr>
        <w:ind w:left="4320" w:hanging="360"/>
      </w:pPr>
      <w:rPr>
        <w:rFonts w:ascii="Wingdings" w:hAnsi="Wingdings" w:hint="default"/>
      </w:rPr>
    </w:lvl>
    <w:lvl w:ilvl="6" w:tplc="D2E637BC">
      <w:start w:val="1"/>
      <w:numFmt w:val="bullet"/>
      <w:lvlText w:val=""/>
      <w:lvlJc w:val="left"/>
      <w:pPr>
        <w:ind w:left="5040" w:hanging="360"/>
      </w:pPr>
      <w:rPr>
        <w:rFonts w:ascii="Symbol" w:hAnsi="Symbol" w:hint="default"/>
      </w:rPr>
    </w:lvl>
    <w:lvl w:ilvl="7" w:tplc="B918686E">
      <w:start w:val="1"/>
      <w:numFmt w:val="bullet"/>
      <w:lvlText w:val="o"/>
      <w:lvlJc w:val="left"/>
      <w:pPr>
        <w:ind w:left="5760" w:hanging="360"/>
      </w:pPr>
      <w:rPr>
        <w:rFonts w:ascii="Courier New" w:hAnsi="Courier New" w:hint="default"/>
      </w:rPr>
    </w:lvl>
    <w:lvl w:ilvl="8" w:tplc="BAB2BB0C">
      <w:start w:val="1"/>
      <w:numFmt w:val="bullet"/>
      <w:lvlText w:val=""/>
      <w:lvlJc w:val="left"/>
      <w:pPr>
        <w:ind w:left="6480" w:hanging="360"/>
      </w:pPr>
      <w:rPr>
        <w:rFonts w:ascii="Wingdings" w:hAnsi="Wingdings" w:hint="default"/>
      </w:rPr>
    </w:lvl>
  </w:abstractNum>
  <w:abstractNum w:abstractNumId="9" w15:restartNumberingAfterBreak="0">
    <w:nsid w:val="4E351352"/>
    <w:multiLevelType w:val="hybridMultilevel"/>
    <w:tmpl w:val="CB1C772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9DD4815"/>
    <w:multiLevelType w:val="multilevel"/>
    <w:tmpl w:val="48CC2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B731ABB"/>
    <w:multiLevelType w:val="hybridMultilevel"/>
    <w:tmpl w:val="4282F38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7903EB3"/>
    <w:multiLevelType w:val="hybridMultilevel"/>
    <w:tmpl w:val="FAF8BA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722252B"/>
    <w:multiLevelType w:val="hybridMultilevel"/>
    <w:tmpl w:val="5CE8B9F2"/>
    <w:lvl w:ilvl="0" w:tplc="FFFFFFFF">
      <w:start w:val="1"/>
      <w:numFmt w:val="bullet"/>
      <w:lvlText w:val=""/>
      <w:lvlJc w:val="left"/>
      <w:pPr>
        <w:ind w:left="720" w:hanging="360"/>
      </w:pPr>
      <w:rPr>
        <w:rFonts w:ascii="Symbol" w:hAnsi="Symbol" w:hint="default"/>
      </w:rPr>
    </w:lvl>
    <w:lvl w:ilvl="1" w:tplc="D46AA1F0">
      <w:start w:val="1"/>
      <w:numFmt w:val="bullet"/>
      <w:lvlText w:val="o"/>
      <w:lvlJc w:val="left"/>
      <w:pPr>
        <w:ind w:left="1440" w:hanging="360"/>
      </w:pPr>
      <w:rPr>
        <w:rFonts w:ascii="Courier New" w:hAnsi="Courier New" w:hint="default"/>
      </w:rPr>
    </w:lvl>
    <w:lvl w:ilvl="2" w:tplc="1E143228">
      <w:start w:val="1"/>
      <w:numFmt w:val="bullet"/>
      <w:lvlText w:val=""/>
      <w:lvlJc w:val="left"/>
      <w:pPr>
        <w:ind w:left="2160" w:hanging="360"/>
      </w:pPr>
      <w:rPr>
        <w:rFonts w:ascii="Wingdings" w:hAnsi="Wingdings" w:hint="default"/>
      </w:rPr>
    </w:lvl>
    <w:lvl w:ilvl="3" w:tplc="7B4A5182">
      <w:start w:val="1"/>
      <w:numFmt w:val="bullet"/>
      <w:lvlText w:val=""/>
      <w:lvlJc w:val="left"/>
      <w:pPr>
        <w:ind w:left="2880" w:hanging="360"/>
      </w:pPr>
      <w:rPr>
        <w:rFonts w:ascii="Symbol" w:hAnsi="Symbol" w:hint="default"/>
      </w:rPr>
    </w:lvl>
    <w:lvl w:ilvl="4" w:tplc="56F42A96">
      <w:start w:val="1"/>
      <w:numFmt w:val="bullet"/>
      <w:lvlText w:val="o"/>
      <w:lvlJc w:val="left"/>
      <w:pPr>
        <w:ind w:left="3600" w:hanging="360"/>
      </w:pPr>
      <w:rPr>
        <w:rFonts w:ascii="Courier New" w:hAnsi="Courier New" w:hint="default"/>
      </w:rPr>
    </w:lvl>
    <w:lvl w:ilvl="5" w:tplc="18C21FE0">
      <w:start w:val="1"/>
      <w:numFmt w:val="bullet"/>
      <w:lvlText w:val=""/>
      <w:lvlJc w:val="left"/>
      <w:pPr>
        <w:ind w:left="4320" w:hanging="360"/>
      </w:pPr>
      <w:rPr>
        <w:rFonts w:ascii="Wingdings" w:hAnsi="Wingdings" w:hint="default"/>
      </w:rPr>
    </w:lvl>
    <w:lvl w:ilvl="6" w:tplc="512EC5F4">
      <w:start w:val="1"/>
      <w:numFmt w:val="bullet"/>
      <w:lvlText w:val=""/>
      <w:lvlJc w:val="left"/>
      <w:pPr>
        <w:ind w:left="5040" w:hanging="360"/>
      </w:pPr>
      <w:rPr>
        <w:rFonts w:ascii="Symbol" w:hAnsi="Symbol" w:hint="default"/>
      </w:rPr>
    </w:lvl>
    <w:lvl w:ilvl="7" w:tplc="B45CA3C6">
      <w:start w:val="1"/>
      <w:numFmt w:val="bullet"/>
      <w:lvlText w:val="o"/>
      <w:lvlJc w:val="left"/>
      <w:pPr>
        <w:ind w:left="5760" w:hanging="360"/>
      </w:pPr>
      <w:rPr>
        <w:rFonts w:ascii="Courier New" w:hAnsi="Courier New" w:hint="default"/>
      </w:rPr>
    </w:lvl>
    <w:lvl w:ilvl="8" w:tplc="8B909BF2">
      <w:start w:val="1"/>
      <w:numFmt w:val="bullet"/>
      <w:lvlText w:val=""/>
      <w:lvlJc w:val="left"/>
      <w:pPr>
        <w:ind w:left="6480" w:hanging="360"/>
      </w:pPr>
      <w:rPr>
        <w:rFonts w:ascii="Wingdings" w:hAnsi="Wingdings" w:hint="default"/>
      </w:rPr>
    </w:lvl>
  </w:abstractNum>
  <w:abstractNum w:abstractNumId="14" w15:restartNumberingAfterBreak="0">
    <w:nsid w:val="7B082AB2"/>
    <w:multiLevelType w:val="hybridMultilevel"/>
    <w:tmpl w:val="4282F38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6"/>
  </w:num>
  <w:num w:numId="3">
    <w:abstractNumId w:val="5"/>
  </w:num>
  <w:num w:numId="4">
    <w:abstractNumId w:val="4"/>
  </w:num>
  <w:num w:numId="5">
    <w:abstractNumId w:val="3"/>
  </w:num>
  <w:num w:numId="6">
    <w:abstractNumId w:val="1"/>
  </w:num>
  <w:num w:numId="7">
    <w:abstractNumId w:val="2"/>
  </w:num>
  <w:num w:numId="8">
    <w:abstractNumId w:val="10"/>
  </w:num>
  <w:num w:numId="9">
    <w:abstractNumId w:val="11"/>
  </w:num>
  <w:num w:numId="10">
    <w:abstractNumId w:val="7"/>
  </w:num>
  <w:num w:numId="11">
    <w:abstractNumId w:val="9"/>
  </w:num>
  <w:num w:numId="12">
    <w:abstractNumId w:val="12"/>
  </w:num>
  <w:num w:numId="13">
    <w:abstractNumId w:val="14"/>
  </w:num>
  <w:num w:numId="14">
    <w:abstractNumId w:val="0"/>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defaultTabStop w:val="720"/>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CD70CBB"/>
    <w:rsid w:val="00053B0A"/>
    <w:rsid w:val="000922AC"/>
    <w:rsid w:val="000B7B51"/>
    <w:rsid w:val="000D21BD"/>
    <w:rsid w:val="000E4FA0"/>
    <w:rsid w:val="00142906"/>
    <w:rsid w:val="00165294"/>
    <w:rsid w:val="001B2159"/>
    <w:rsid w:val="001B52CA"/>
    <w:rsid w:val="001C230C"/>
    <w:rsid w:val="002240F9"/>
    <w:rsid w:val="0026797A"/>
    <w:rsid w:val="0027587A"/>
    <w:rsid w:val="00297026"/>
    <w:rsid w:val="002A100A"/>
    <w:rsid w:val="002D66CC"/>
    <w:rsid w:val="00300812"/>
    <w:rsid w:val="00300F93"/>
    <w:rsid w:val="00327EB0"/>
    <w:rsid w:val="003429A7"/>
    <w:rsid w:val="00356BE5"/>
    <w:rsid w:val="00373050"/>
    <w:rsid w:val="003E6550"/>
    <w:rsid w:val="003E715C"/>
    <w:rsid w:val="004677EF"/>
    <w:rsid w:val="00472F13"/>
    <w:rsid w:val="00496DD9"/>
    <w:rsid w:val="004B1A85"/>
    <w:rsid w:val="004D196C"/>
    <w:rsid w:val="00506FC3"/>
    <w:rsid w:val="00551272"/>
    <w:rsid w:val="00552E67"/>
    <w:rsid w:val="00585E53"/>
    <w:rsid w:val="005A0F03"/>
    <w:rsid w:val="005D6523"/>
    <w:rsid w:val="005E1EB5"/>
    <w:rsid w:val="005EE846"/>
    <w:rsid w:val="006231FB"/>
    <w:rsid w:val="00626549"/>
    <w:rsid w:val="006317DA"/>
    <w:rsid w:val="00665A1E"/>
    <w:rsid w:val="00665A7D"/>
    <w:rsid w:val="006858DD"/>
    <w:rsid w:val="00686AA4"/>
    <w:rsid w:val="0069529E"/>
    <w:rsid w:val="006A1017"/>
    <w:rsid w:val="006B3525"/>
    <w:rsid w:val="006B64E1"/>
    <w:rsid w:val="00770DA0"/>
    <w:rsid w:val="007911BE"/>
    <w:rsid w:val="007B0DF0"/>
    <w:rsid w:val="007E32D1"/>
    <w:rsid w:val="00800077"/>
    <w:rsid w:val="0081178B"/>
    <w:rsid w:val="0082151C"/>
    <w:rsid w:val="008417A7"/>
    <w:rsid w:val="00843EA9"/>
    <w:rsid w:val="00856496"/>
    <w:rsid w:val="008707C4"/>
    <w:rsid w:val="00872B58"/>
    <w:rsid w:val="00872BA4"/>
    <w:rsid w:val="00892BE5"/>
    <w:rsid w:val="008A3D08"/>
    <w:rsid w:val="008B0A37"/>
    <w:rsid w:val="00926556"/>
    <w:rsid w:val="00963CE4"/>
    <w:rsid w:val="009712AB"/>
    <w:rsid w:val="00976EA9"/>
    <w:rsid w:val="00980D00"/>
    <w:rsid w:val="0098789A"/>
    <w:rsid w:val="009A20B4"/>
    <w:rsid w:val="009A23AC"/>
    <w:rsid w:val="009C5702"/>
    <w:rsid w:val="00A015AF"/>
    <w:rsid w:val="00A106D4"/>
    <w:rsid w:val="00A42905"/>
    <w:rsid w:val="00A448C8"/>
    <w:rsid w:val="00AD794D"/>
    <w:rsid w:val="00B11C99"/>
    <w:rsid w:val="00B40ECE"/>
    <w:rsid w:val="00B51C91"/>
    <w:rsid w:val="00B542E4"/>
    <w:rsid w:val="00B74338"/>
    <w:rsid w:val="00B77D28"/>
    <w:rsid w:val="00B87EF5"/>
    <w:rsid w:val="00B9167F"/>
    <w:rsid w:val="00BB0B34"/>
    <w:rsid w:val="00BD24E9"/>
    <w:rsid w:val="00C00F89"/>
    <w:rsid w:val="00C34D83"/>
    <w:rsid w:val="00C41661"/>
    <w:rsid w:val="00C43BD2"/>
    <w:rsid w:val="00C53B82"/>
    <w:rsid w:val="00C73044"/>
    <w:rsid w:val="00C83E06"/>
    <w:rsid w:val="00CA3BE5"/>
    <w:rsid w:val="00CB50E1"/>
    <w:rsid w:val="00CC7930"/>
    <w:rsid w:val="00CD2C98"/>
    <w:rsid w:val="00D330A6"/>
    <w:rsid w:val="00D570CE"/>
    <w:rsid w:val="00DA5C74"/>
    <w:rsid w:val="00DB37A5"/>
    <w:rsid w:val="00DC5156"/>
    <w:rsid w:val="00E441BE"/>
    <w:rsid w:val="00E653D7"/>
    <w:rsid w:val="00E77AD9"/>
    <w:rsid w:val="00EA562A"/>
    <w:rsid w:val="00EC6A35"/>
    <w:rsid w:val="00EC75DD"/>
    <w:rsid w:val="00F25E0F"/>
    <w:rsid w:val="00F64069"/>
    <w:rsid w:val="00FA2039"/>
    <w:rsid w:val="00FA3257"/>
    <w:rsid w:val="00FA7F31"/>
    <w:rsid w:val="00FB5DC0"/>
    <w:rsid w:val="00FC0AA2"/>
    <w:rsid w:val="0125A55A"/>
    <w:rsid w:val="01A2B81C"/>
    <w:rsid w:val="0227E71E"/>
    <w:rsid w:val="025542C6"/>
    <w:rsid w:val="0272751E"/>
    <w:rsid w:val="0472B718"/>
    <w:rsid w:val="04DE0762"/>
    <w:rsid w:val="04E1EFBC"/>
    <w:rsid w:val="05866975"/>
    <w:rsid w:val="085480F3"/>
    <w:rsid w:val="088CC861"/>
    <w:rsid w:val="09335D90"/>
    <w:rsid w:val="09726327"/>
    <w:rsid w:val="0A003D7F"/>
    <w:rsid w:val="0A5323CF"/>
    <w:rsid w:val="0B5AB25B"/>
    <w:rsid w:val="0B773283"/>
    <w:rsid w:val="0B8E293D"/>
    <w:rsid w:val="0CC85973"/>
    <w:rsid w:val="0CD5B911"/>
    <w:rsid w:val="0CD70CBB"/>
    <w:rsid w:val="0ECBA6C1"/>
    <w:rsid w:val="0F12433F"/>
    <w:rsid w:val="104AC015"/>
    <w:rsid w:val="106B2583"/>
    <w:rsid w:val="118102CB"/>
    <w:rsid w:val="119B5B48"/>
    <w:rsid w:val="11A2033A"/>
    <w:rsid w:val="12EE0490"/>
    <w:rsid w:val="1304DF78"/>
    <w:rsid w:val="159691D8"/>
    <w:rsid w:val="1CA39A28"/>
    <w:rsid w:val="1DB4C8A3"/>
    <w:rsid w:val="1E2A045C"/>
    <w:rsid w:val="1E3F6A89"/>
    <w:rsid w:val="1EAE068D"/>
    <w:rsid w:val="1EB829FD"/>
    <w:rsid w:val="2035640F"/>
    <w:rsid w:val="204521A1"/>
    <w:rsid w:val="20D199BD"/>
    <w:rsid w:val="21770B4B"/>
    <w:rsid w:val="21966300"/>
    <w:rsid w:val="21BAB9BD"/>
    <w:rsid w:val="224492A3"/>
    <w:rsid w:val="229435D9"/>
    <w:rsid w:val="2378DFE0"/>
    <w:rsid w:val="23CC61E0"/>
    <w:rsid w:val="246FC506"/>
    <w:rsid w:val="2657EB39"/>
    <w:rsid w:val="2684202B"/>
    <w:rsid w:val="26B2BF7E"/>
    <w:rsid w:val="27F19F83"/>
    <w:rsid w:val="2822FAC6"/>
    <w:rsid w:val="28D2AC4E"/>
    <w:rsid w:val="28DA0FC2"/>
    <w:rsid w:val="2CEC3CB9"/>
    <w:rsid w:val="2D6EDFE7"/>
    <w:rsid w:val="2DAD80E5"/>
    <w:rsid w:val="2DB1B8EE"/>
    <w:rsid w:val="2F10BF66"/>
    <w:rsid w:val="328E971D"/>
    <w:rsid w:val="32B1B4D3"/>
    <w:rsid w:val="33A77FB4"/>
    <w:rsid w:val="343894AB"/>
    <w:rsid w:val="36546427"/>
    <w:rsid w:val="36774705"/>
    <w:rsid w:val="38171751"/>
    <w:rsid w:val="38E5542A"/>
    <w:rsid w:val="3989F7B2"/>
    <w:rsid w:val="39ED81BF"/>
    <w:rsid w:val="3B7B6261"/>
    <w:rsid w:val="3DDA1A46"/>
    <w:rsid w:val="3E64F3E0"/>
    <w:rsid w:val="3EA8BBDF"/>
    <w:rsid w:val="4041EECB"/>
    <w:rsid w:val="4166CF76"/>
    <w:rsid w:val="4191B4F3"/>
    <w:rsid w:val="4197FFC0"/>
    <w:rsid w:val="428E0291"/>
    <w:rsid w:val="433DFD85"/>
    <w:rsid w:val="43C75885"/>
    <w:rsid w:val="44B23A45"/>
    <w:rsid w:val="44ED2CD0"/>
    <w:rsid w:val="45230FCC"/>
    <w:rsid w:val="46425BA2"/>
    <w:rsid w:val="46904438"/>
    <w:rsid w:val="476173B4"/>
    <w:rsid w:val="47DDEE75"/>
    <w:rsid w:val="4858A9BD"/>
    <w:rsid w:val="49B0D08D"/>
    <w:rsid w:val="4A9B697A"/>
    <w:rsid w:val="4AB86F41"/>
    <w:rsid w:val="4B25BF0C"/>
    <w:rsid w:val="4B6399F0"/>
    <w:rsid w:val="4DC759FD"/>
    <w:rsid w:val="4DE8448B"/>
    <w:rsid w:val="4E3D92FD"/>
    <w:rsid w:val="50D06FED"/>
    <w:rsid w:val="5167A7CA"/>
    <w:rsid w:val="51858176"/>
    <w:rsid w:val="51A4F020"/>
    <w:rsid w:val="52BF22C0"/>
    <w:rsid w:val="53775DCB"/>
    <w:rsid w:val="53AECD9E"/>
    <w:rsid w:val="558CC5A0"/>
    <w:rsid w:val="56277CA2"/>
    <w:rsid w:val="573AC1FB"/>
    <w:rsid w:val="59405C85"/>
    <w:rsid w:val="5A5F3C2B"/>
    <w:rsid w:val="5ADC2CE6"/>
    <w:rsid w:val="5BB66BB1"/>
    <w:rsid w:val="5BC29325"/>
    <w:rsid w:val="5BE2DEC7"/>
    <w:rsid w:val="5C77B02C"/>
    <w:rsid w:val="5C9AB292"/>
    <w:rsid w:val="5E4C75F0"/>
    <w:rsid w:val="5E4C9A5B"/>
    <w:rsid w:val="6002AB7F"/>
    <w:rsid w:val="6010CC80"/>
    <w:rsid w:val="61B5A5E7"/>
    <w:rsid w:val="6279D87B"/>
    <w:rsid w:val="63F338C1"/>
    <w:rsid w:val="6444DFAF"/>
    <w:rsid w:val="645D0DD6"/>
    <w:rsid w:val="6551DB58"/>
    <w:rsid w:val="65943897"/>
    <w:rsid w:val="65A702EB"/>
    <w:rsid w:val="65DFD2A5"/>
    <w:rsid w:val="65E9D2E5"/>
    <w:rsid w:val="66070FEE"/>
    <w:rsid w:val="668F60E7"/>
    <w:rsid w:val="67A7E7A3"/>
    <w:rsid w:val="67DF3AF9"/>
    <w:rsid w:val="684EE510"/>
    <w:rsid w:val="68CCD5D3"/>
    <w:rsid w:val="6B5ECC4A"/>
    <w:rsid w:val="6CBDC2CC"/>
    <w:rsid w:val="6D1B4991"/>
    <w:rsid w:val="6DA97DB0"/>
    <w:rsid w:val="6DB65252"/>
    <w:rsid w:val="6E81DDE3"/>
    <w:rsid w:val="6F86DE72"/>
    <w:rsid w:val="700C4117"/>
    <w:rsid w:val="70622CEC"/>
    <w:rsid w:val="715E5209"/>
    <w:rsid w:val="71BE29BA"/>
    <w:rsid w:val="71E30A59"/>
    <w:rsid w:val="720FB56A"/>
    <w:rsid w:val="73B2F60B"/>
    <w:rsid w:val="740C01FC"/>
    <w:rsid w:val="76987877"/>
    <w:rsid w:val="77424371"/>
    <w:rsid w:val="77BCFB6C"/>
    <w:rsid w:val="78694CE0"/>
    <w:rsid w:val="7A91C5E6"/>
    <w:rsid w:val="7C24399A"/>
    <w:rsid w:val="7D0F0BDA"/>
    <w:rsid w:val="7D38885E"/>
    <w:rsid w:val="7D5128D7"/>
    <w:rsid w:val="7D6215D6"/>
    <w:rsid w:val="7D7C76F4"/>
    <w:rsid w:val="7DA57115"/>
    <w:rsid w:val="7DF0AAE8"/>
    <w:rsid w:val="7ED458BF"/>
    <w:rsid w:val="7EFA0357"/>
    <w:rsid w:val="7F2048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CD70CBB"/>
  <w15:chartTrackingRefBased/>
  <w15:docId w15:val="{0C6D3EE7-1CFE-4D4D-8CBD-615200823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A015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015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15AF"/>
  </w:style>
  <w:style w:type="paragraph" w:styleId="Footer">
    <w:name w:val="footer"/>
    <w:basedOn w:val="Normal"/>
    <w:link w:val="FooterChar"/>
    <w:uiPriority w:val="99"/>
    <w:unhideWhenUsed/>
    <w:rsid w:val="00A015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15AF"/>
  </w:style>
  <w:style w:type="table" w:customStyle="1" w:styleId="TableGrid1">
    <w:name w:val="Table Grid1"/>
    <w:basedOn w:val="TableNormal"/>
    <w:next w:val="TableGrid"/>
    <w:uiPriority w:val="39"/>
    <w:rsid w:val="00BB0B34"/>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96D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6DD9"/>
    <w:rPr>
      <w:rFonts w:ascii="Segoe UI" w:hAnsi="Segoe UI" w:cs="Segoe UI"/>
      <w:sz w:val="18"/>
      <w:szCs w:val="18"/>
    </w:rPr>
  </w:style>
  <w:style w:type="character" w:styleId="FootnoteReference">
    <w:name w:val="footnote reference"/>
    <w:basedOn w:val="DefaultParagraphFont"/>
    <w:uiPriority w:val="99"/>
    <w:semiHidden/>
    <w:unhideWhenUsed/>
    <w:rPr>
      <w:vertAlign w:val="superscript"/>
    </w:rPr>
  </w:style>
  <w:style w:type="character" w:customStyle="1" w:styleId="FootnoteTextChar">
    <w:name w:val="Footnote Text Char"/>
    <w:basedOn w:val="DefaultParagraphFont"/>
    <w:link w:val="FootnoteText"/>
    <w:uiPriority w:val="99"/>
    <w:semiHidden/>
    <w:rPr>
      <w:sz w:val="20"/>
      <w:szCs w:val="20"/>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llowedHyperlink">
    <w:name w:val="FollowedHyperlink"/>
    <w:basedOn w:val="DefaultParagraphFont"/>
    <w:uiPriority w:val="99"/>
    <w:semiHidden/>
    <w:unhideWhenUsed/>
    <w:rsid w:val="00B7433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438771">
      <w:bodyDiv w:val="1"/>
      <w:marLeft w:val="0"/>
      <w:marRight w:val="0"/>
      <w:marTop w:val="0"/>
      <w:marBottom w:val="0"/>
      <w:divBdr>
        <w:top w:val="none" w:sz="0" w:space="0" w:color="auto"/>
        <w:left w:val="none" w:sz="0" w:space="0" w:color="auto"/>
        <w:bottom w:val="none" w:sz="0" w:space="0" w:color="auto"/>
        <w:right w:val="none" w:sz="0" w:space="0" w:color="auto"/>
      </w:divBdr>
    </w:div>
    <w:div w:id="852382569">
      <w:bodyDiv w:val="1"/>
      <w:marLeft w:val="0"/>
      <w:marRight w:val="0"/>
      <w:marTop w:val="0"/>
      <w:marBottom w:val="0"/>
      <w:divBdr>
        <w:top w:val="none" w:sz="0" w:space="0" w:color="auto"/>
        <w:left w:val="none" w:sz="0" w:space="0" w:color="auto"/>
        <w:bottom w:val="none" w:sz="0" w:space="0" w:color="auto"/>
        <w:right w:val="none" w:sz="0" w:space="0" w:color="auto"/>
      </w:divBdr>
    </w:div>
    <w:div w:id="942809801">
      <w:bodyDiv w:val="1"/>
      <w:marLeft w:val="0"/>
      <w:marRight w:val="0"/>
      <w:marTop w:val="0"/>
      <w:marBottom w:val="0"/>
      <w:divBdr>
        <w:top w:val="none" w:sz="0" w:space="0" w:color="auto"/>
        <w:left w:val="none" w:sz="0" w:space="0" w:color="auto"/>
        <w:bottom w:val="none" w:sz="0" w:space="0" w:color="auto"/>
        <w:right w:val="none" w:sz="0" w:space="0" w:color="auto"/>
      </w:divBdr>
      <w:divsChild>
        <w:div w:id="17856542">
          <w:marLeft w:val="-108"/>
          <w:marRight w:val="0"/>
          <w:marTop w:val="0"/>
          <w:marBottom w:val="0"/>
          <w:divBdr>
            <w:top w:val="none" w:sz="0" w:space="0" w:color="auto"/>
            <w:left w:val="none" w:sz="0" w:space="0" w:color="auto"/>
            <w:bottom w:val="none" w:sz="0" w:space="0" w:color="auto"/>
            <w:right w:val="none" w:sz="0" w:space="0" w:color="auto"/>
          </w:divBdr>
        </w:div>
      </w:divsChild>
    </w:div>
    <w:div w:id="1581479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pp.smartsheet.com/b/publish?EQBCT=fca53ef22137471da61ffd303d6ad426" TargetMode="External"/><Relationship Id="rId18" Type="http://schemas.openxmlformats.org/officeDocument/2006/relationships/hyperlink" Target="mailto:raeann.ray@state.or.us"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oregon.gov/ode/reports-and-data/SpEdReports/Pages/State-Performance-Plan-and-Annual-Performance-Report-for-Special-Education.aspx" TargetMode="External"/><Relationship Id="rId17" Type="http://schemas.openxmlformats.org/officeDocument/2006/relationships/chart" Target="charts/chart3.xml"/><Relationship Id="R2535d6b105a54938" Type="http://schemas.microsoft.com/office/2016/09/relationships/commentsIds" Target="commentsIds.xml"/><Relationship Id="R3e1c7752420540fa"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chart" Target="charts/chart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chart" Target="charts/chart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2.ed.gov/about/inits/ed/edfacts/file-specifications.htm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parentcenterhub.org/placement-lre/"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wellse\AppData\Local\Microsoft\Windows\INetCache\Content.Outlook\3B5WG5R7\SPP%20Stakeholder%20Graphs_11122021.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wellse\AppData\Local\Microsoft\Windows\INetCache\Content.Outlook\3B5WG5R7\SPP%20Stakeholder%20Graphs_11122021.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wellse\AppData\Local\Microsoft\Windows\INetCache\Content.Outlook\3B5WG5R7\SPP%20Stakeholder%20Graphs_11122021.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baseline="0"/>
              <a:t>Oregon's Indicator B5 (School Age LRE) Data</a:t>
            </a:r>
          </a:p>
          <a:p>
            <a:pPr>
              <a:defRPr/>
            </a:pPr>
            <a:r>
              <a:rPr lang="en-US" sz="1200" baseline="0"/>
              <a:t>Inside Regular Class 80% or More of Day (Ages K5-21)</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'B5'!$G$10</c:f>
              <c:strCache>
                <c:ptCount val="1"/>
                <c:pt idx="0">
                  <c:v>Data</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'B5'!$F$11:$F$17</c:f>
              <c:strCache>
                <c:ptCount val="7"/>
                <c:pt idx="0">
                  <c:v>2014-2015</c:v>
                </c:pt>
                <c:pt idx="1">
                  <c:v>2015-2016</c:v>
                </c:pt>
                <c:pt idx="2">
                  <c:v>2016-2017</c:v>
                </c:pt>
                <c:pt idx="3">
                  <c:v>2017-2018</c:v>
                </c:pt>
                <c:pt idx="4">
                  <c:v>2018-2019</c:v>
                </c:pt>
                <c:pt idx="5">
                  <c:v>2019-2020</c:v>
                </c:pt>
                <c:pt idx="6">
                  <c:v>2020-2021</c:v>
                </c:pt>
              </c:strCache>
            </c:strRef>
          </c:cat>
          <c:val>
            <c:numRef>
              <c:f>'B5'!$G$11:$G$17</c:f>
              <c:numCache>
                <c:formatCode>0.00%</c:formatCode>
                <c:ptCount val="7"/>
                <c:pt idx="0">
                  <c:v>0.73150684931506849</c:v>
                </c:pt>
                <c:pt idx="1">
                  <c:v>0.73683936474876333</c:v>
                </c:pt>
                <c:pt idx="2">
                  <c:v>0.73767379816325485</c:v>
                </c:pt>
                <c:pt idx="3">
                  <c:v>0.73954886074023352</c:v>
                </c:pt>
                <c:pt idx="4">
                  <c:v>0.742155253866428</c:v>
                </c:pt>
                <c:pt idx="5">
                  <c:v>0.7459386062751564</c:v>
                </c:pt>
                <c:pt idx="6">
                  <c:v>0.75310220350454993</c:v>
                </c:pt>
              </c:numCache>
            </c:numRef>
          </c:val>
          <c:smooth val="0"/>
          <c:extLst>
            <c:ext xmlns:c16="http://schemas.microsoft.com/office/drawing/2014/chart" uri="{C3380CC4-5D6E-409C-BE32-E72D297353CC}">
              <c16:uniqueId val="{00000000-6C51-4134-A808-8200DD706C42}"/>
            </c:ext>
          </c:extLst>
        </c:ser>
        <c:dLbls>
          <c:dLblPos val="t"/>
          <c:showLegendKey val="0"/>
          <c:showVal val="1"/>
          <c:showCatName val="0"/>
          <c:showSerName val="0"/>
          <c:showPercent val="0"/>
          <c:showBubbleSize val="0"/>
        </c:dLbls>
        <c:marker val="1"/>
        <c:smooth val="0"/>
        <c:axId val="610854992"/>
        <c:axId val="610855320"/>
      </c:lineChart>
      <c:catAx>
        <c:axId val="61085499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10855320"/>
        <c:crosses val="autoZero"/>
        <c:auto val="1"/>
        <c:lblAlgn val="ctr"/>
        <c:lblOffset val="100"/>
        <c:noMultiLvlLbl val="0"/>
      </c:catAx>
      <c:valAx>
        <c:axId val="610855320"/>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1085499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baseline="0"/>
              <a:t>Oregon's Indicator B5 (School Age LRE) Data</a:t>
            </a:r>
          </a:p>
          <a:p>
            <a:pPr>
              <a:defRPr/>
            </a:pPr>
            <a:r>
              <a:rPr lang="en-US" sz="1200" baseline="0"/>
              <a:t>Inside Regular Class Less Than 40% of Day (Ages K5-21)</a:t>
            </a:r>
          </a:p>
        </c:rich>
      </c:tx>
      <c:layout>
        <c:manualLayout>
          <c:xMode val="edge"/>
          <c:yMode val="edge"/>
          <c:x val="0.18405092592592595"/>
          <c:y val="2.7777777777777776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'B5'!$H$10</c:f>
              <c:strCache>
                <c:ptCount val="1"/>
                <c:pt idx="0">
                  <c:v>Data</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'B5'!$F$11:$F$17</c:f>
              <c:strCache>
                <c:ptCount val="7"/>
                <c:pt idx="0">
                  <c:v>2014-2015</c:v>
                </c:pt>
                <c:pt idx="1">
                  <c:v>2015-2016</c:v>
                </c:pt>
                <c:pt idx="2">
                  <c:v>2016-2017</c:v>
                </c:pt>
                <c:pt idx="3">
                  <c:v>2017-2018</c:v>
                </c:pt>
                <c:pt idx="4">
                  <c:v>2018-2019</c:v>
                </c:pt>
                <c:pt idx="5">
                  <c:v>2019-2020</c:v>
                </c:pt>
                <c:pt idx="6">
                  <c:v>2020-2021</c:v>
                </c:pt>
              </c:strCache>
            </c:strRef>
          </c:cat>
          <c:val>
            <c:numRef>
              <c:f>'B5'!$H$11:$H$17</c:f>
              <c:numCache>
                <c:formatCode>0.00%</c:formatCode>
                <c:ptCount val="7"/>
                <c:pt idx="0">
                  <c:v>0.10695468914646997</c:v>
                </c:pt>
                <c:pt idx="1">
                  <c:v>0.10170528508200989</c:v>
                </c:pt>
                <c:pt idx="2">
                  <c:v>9.969986147452671E-2</c:v>
                </c:pt>
                <c:pt idx="3">
                  <c:v>9.9002117488937072E-2</c:v>
                </c:pt>
                <c:pt idx="4">
                  <c:v>9.7332040379929388E-2</c:v>
                </c:pt>
                <c:pt idx="5">
                  <c:v>9.5630667765869745E-2</c:v>
                </c:pt>
                <c:pt idx="6">
                  <c:v>9.2690080469278791E-2</c:v>
                </c:pt>
              </c:numCache>
            </c:numRef>
          </c:val>
          <c:smooth val="0"/>
          <c:extLst>
            <c:ext xmlns:c16="http://schemas.microsoft.com/office/drawing/2014/chart" uri="{C3380CC4-5D6E-409C-BE32-E72D297353CC}">
              <c16:uniqueId val="{00000000-4E82-4250-AC19-7D0F65AF391B}"/>
            </c:ext>
          </c:extLst>
        </c:ser>
        <c:dLbls>
          <c:dLblPos val="t"/>
          <c:showLegendKey val="0"/>
          <c:showVal val="1"/>
          <c:showCatName val="0"/>
          <c:showSerName val="0"/>
          <c:showPercent val="0"/>
          <c:showBubbleSize val="0"/>
        </c:dLbls>
        <c:marker val="1"/>
        <c:smooth val="0"/>
        <c:axId val="534640640"/>
        <c:axId val="534641624"/>
      </c:lineChart>
      <c:catAx>
        <c:axId val="53464064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34641624"/>
        <c:crosses val="autoZero"/>
        <c:auto val="1"/>
        <c:lblAlgn val="ctr"/>
        <c:lblOffset val="100"/>
        <c:noMultiLvlLbl val="0"/>
      </c:catAx>
      <c:valAx>
        <c:axId val="534641624"/>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3464064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baseline="0"/>
              <a:t>Oregon's Indicator B5 (School Age LRE) Data</a:t>
            </a:r>
          </a:p>
          <a:p>
            <a:pPr>
              <a:defRPr/>
            </a:pPr>
            <a:r>
              <a:rPr lang="en-US" sz="1200" baseline="0"/>
              <a:t>In Separate Schools, Residential Facilities, or </a:t>
            </a:r>
          </a:p>
          <a:p>
            <a:pPr>
              <a:defRPr/>
            </a:pPr>
            <a:r>
              <a:rPr lang="en-US" sz="1200" baseline="0"/>
              <a:t>Homebound/Hospital (Ages K5-21)</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'B5'!$I$10</c:f>
              <c:strCache>
                <c:ptCount val="1"/>
                <c:pt idx="0">
                  <c:v>Data</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'B5'!$F$11:$F$17</c:f>
              <c:strCache>
                <c:ptCount val="7"/>
                <c:pt idx="0">
                  <c:v>2014-2015</c:v>
                </c:pt>
                <c:pt idx="1">
                  <c:v>2015-2016</c:v>
                </c:pt>
                <c:pt idx="2">
                  <c:v>2016-2017</c:v>
                </c:pt>
                <c:pt idx="3">
                  <c:v>2017-2018</c:v>
                </c:pt>
                <c:pt idx="4">
                  <c:v>2018-2019</c:v>
                </c:pt>
                <c:pt idx="5">
                  <c:v>2019-2020</c:v>
                </c:pt>
                <c:pt idx="6">
                  <c:v>2020-2021</c:v>
                </c:pt>
              </c:strCache>
            </c:strRef>
          </c:cat>
          <c:val>
            <c:numRef>
              <c:f>'B5'!$I$11:$I$17</c:f>
              <c:numCache>
                <c:formatCode>0.00%</c:formatCode>
                <c:ptCount val="7"/>
                <c:pt idx="0">
                  <c:v>1.375131717597471E-2</c:v>
                </c:pt>
                <c:pt idx="1">
                  <c:v>1.162457693309034E-2</c:v>
                </c:pt>
                <c:pt idx="2">
                  <c:v>1.1620748037555795E-2</c:v>
                </c:pt>
                <c:pt idx="3">
                  <c:v>1.3985570644249179E-2</c:v>
                </c:pt>
                <c:pt idx="4">
                  <c:v>1.6833258739867719E-2</c:v>
                </c:pt>
                <c:pt idx="5">
                  <c:v>1.7858008825954126E-2</c:v>
                </c:pt>
                <c:pt idx="6">
                  <c:v>1.5517284600536462E-2</c:v>
                </c:pt>
              </c:numCache>
            </c:numRef>
          </c:val>
          <c:smooth val="0"/>
          <c:extLst>
            <c:ext xmlns:c16="http://schemas.microsoft.com/office/drawing/2014/chart" uri="{C3380CC4-5D6E-409C-BE32-E72D297353CC}">
              <c16:uniqueId val="{00000000-1692-44B0-B722-46739E5092BA}"/>
            </c:ext>
          </c:extLst>
        </c:ser>
        <c:dLbls>
          <c:dLblPos val="t"/>
          <c:showLegendKey val="0"/>
          <c:showVal val="1"/>
          <c:showCatName val="0"/>
          <c:showSerName val="0"/>
          <c:showPercent val="0"/>
          <c:showBubbleSize val="0"/>
        </c:dLbls>
        <c:marker val="1"/>
        <c:smooth val="0"/>
        <c:axId val="324722896"/>
        <c:axId val="324722240"/>
      </c:lineChart>
      <c:catAx>
        <c:axId val="32472289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24722240"/>
        <c:crosses val="autoZero"/>
        <c:auto val="1"/>
        <c:lblAlgn val="ctr"/>
        <c:lblOffset val="100"/>
        <c:noMultiLvlLbl val="0"/>
      </c:catAx>
      <c:valAx>
        <c:axId val="324722240"/>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2472289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626a857a-181d-4963-b522-a6055312c9f6">
      <UserInfo>
        <DisplayName>WELLS Eric * ODE</DisplayName>
        <AccountId>3</AccountId>
        <AccountType/>
      </UserInfo>
    </SharedWithUsers>
    <Estimated_x0020_Creation_x0020_Date xmlns="b4311169-ef95-4eb4-ad55-0b8e815ccd7b" xsi:nil="true"/>
    <PublishingExpirationDate xmlns="http://schemas.microsoft.com/sharepoint/v3" xsi:nil="true"/>
    <PublishingStartDate xmlns="http://schemas.microsoft.com/sharepoint/v3" xsi:nil="true"/>
    <Priority xmlns="b4311169-ef95-4eb4-ad55-0b8e815ccd7b">New</Priority>
    <Remediation_x0020_Date xmlns="b4311169-ef95-4eb4-ad55-0b8e815ccd7b">2021-12-17T18:47:47+00:00</Remediation_x0020_Dat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4E3A0F89BB9954C8B253FD585569827" ma:contentTypeVersion="7" ma:contentTypeDescription="Create a new document." ma:contentTypeScope="" ma:versionID="a81cf9d4b13597e61b9efcf1db968191">
  <xsd:schema xmlns:xsd="http://www.w3.org/2001/XMLSchema" xmlns:xs="http://www.w3.org/2001/XMLSchema" xmlns:p="http://schemas.microsoft.com/office/2006/metadata/properties" xmlns:ns1="http://schemas.microsoft.com/sharepoint/v3" xmlns:ns2="b4311169-ef95-4eb4-ad55-0b8e815ccd7b" xmlns:ns3="626a857a-181d-4963-b522-a6055312c9f6" targetNamespace="http://schemas.microsoft.com/office/2006/metadata/properties" ma:root="true" ma:fieldsID="502f16f298c31747db7e96094745dff6" ns1:_="" ns2:_="" ns3:_="">
    <xsd:import namespace="http://schemas.microsoft.com/sharepoint/v3"/>
    <xsd:import namespace="b4311169-ef95-4eb4-ad55-0b8e815ccd7b"/>
    <xsd:import namespace="626a857a-181d-4963-b522-a6055312c9f6"/>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4311169-ef95-4eb4-ad55-0b8e815ccd7b"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626a857a-181d-4963-b522-a6055312c9f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F8720C-5962-4E5E-8C0C-E9B105BD9479}">
  <ds:schemaRefs>
    <ds:schemaRef ds:uri="http://schemas.microsoft.com/sharepoint/v3/contenttype/forms"/>
  </ds:schemaRefs>
</ds:datastoreItem>
</file>

<file path=customXml/itemProps2.xml><?xml version="1.0" encoding="utf-8"?>
<ds:datastoreItem xmlns:ds="http://schemas.openxmlformats.org/officeDocument/2006/customXml" ds:itemID="{85CC21F9-4EE9-4382-8358-CB255CA66444}">
  <ds:schemaRefs>
    <ds:schemaRef ds:uri="b47477c3-cea5-4644-a2b9-72f12b741c16"/>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7f305cf4-7e8c-42e6-816c-ef6b646f0adc"/>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6E4AB817-32CA-4BD9-A953-5494195D5F78}"/>
</file>

<file path=customXml/itemProps4.xml><?xml version="1.0" encoding="utf-8"?>
<ds:datastoreItem xmlns:ds="http://schemas.openxmlformats.org/officeDocument/2006/customXml" ds:itemID="{E02B182F-063F-41B7-8859-3C03E3B01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958</Words>
  <Characters>5462</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AICHLMAYR Mary * ODE</dc:creator>
  <cp:keywords/>
  <dc:description/>
  <cp:lastModifiedBy>TURNBULL Mariana * ODE</cp:lastModifiedBy>
  <cp:revision>2</cp:revision>
  <cp:lastPrinted>2021-11-02T01:50:00Z</cp:lastPrinted>
  <dcterms:created xsi:type="dcterms:W3CDTF">2021-12-17T17:40:00Z</dcterms:created>
  <dcterms:modified xsi:type="dcterms:W3CDTF">2021-12-17T17:40:00Z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0x01010054E3A0F89BB9954C8B253FD585569827</vt:lpwstr>
  </property>
</Properties>
</file>