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B7C5E0B" w14:paraId="084C1F72" w14:textId="77777777" w:rsidTr="003554B6">
        <w:trPr>
          <w:tblHeader/>
        </w:trPr>
        <w:tc>
          <w:tcPr>
            <w:tcW w:w="2160" w:type="dxa"/>
            <w:vAlign w:val="center"/>
          </w:tcPr>
          <w:p w14:paraId="57AF7FFA" w14:textId="77777777" w:rsidR="1B7C5E0B" w:rsidRDefault="1B7C5E0B" w:rsidP="1B7C5E0B">
            <w:pPr>
              <w:spacing w:after="200"/>
              <w:jc w:val="center"/>
              <w:rPr>
                <w:rFonts w:eastAsia="Arial"/>
                <w:b/>
                <w:bCs/>
                <w:color w:val="082A75"/>
                <w:sz w:val="36"/>
                <w:szCs w:val="36"/>
              </w:rPr>
            </w:pPr>
            <w:bookmarkStart w:id="0" w:name="_GoBack"/>
            <w:bookmarkEnd w:id="0"/>
            <w:r>
              <w:rPr>
                <w:noProof/>
              </w:rPr>
              <w:drawing>
                <wp:inline distT="0" distB="0" distL="0" distR="0" wp14:anchorId="2310871B" wp14:editId="7BCFE3E0">
                  <wp:extent cx="1077554" cy="1145969"/>
                  <wp:effectExtent l="0" t="0" r="8890" b="0"/>
                  <wp:docPr id="102924986"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2F2D8A2" w14:textId="77777777" w:rsidR="004F6C8F" w:rsidRPr="007C77D4" w:rsidRDefault="004F6C8F" w:rsidP="004F6C8F">
            <w:pPr>
              <w:pStyle w:val="Title"/>
              <w:spacing w:after="200"/>
              <w:jc w:val="center"/>
              <w:rPr>
                <w:rFonts w:asciiTheme="minorHAnsi" w:eastAsia="Arial" w:hAnsiTheme="minorHAnsi" w:cstheme="minorBidi"/>
                <w:b/>
                <w:bCs/>
                <w:color w:val="1B75BC"/>
                <w:sz w:val="48"/>
                <w:szCs w:val="48"/>
              </w:rPr>
            </w:pPr>
            <w:r w:rsidRPr="007C77D4">
              <w:rPr>
                <w:rFonts w:asciiTheme="minorHAnsi" w:eastAsia="Arial" w:hAnsiTheme="minorHAnsi" w:cstheme="minorBidi"/>
                <w:b/>
                <w:bCs/>
                <w:color w:val="1B75BC"/>
                <w:sz w:val="48"/>
                <w:szCs w:val="48"/>
              </w:rPr>
              <w:t>State Pe</w:t>
            </w:r>
            <w:r w:rsidRPr="00140386">
              <w:rPr>
                <w:rFonts w:asciiTheme="minorHAnsi" w:eastAsia="Arial" w:hAnsiTheme="minorHAnsi" w:cstheme="minorBidi"/>
                <w:b/>
                <w:bCs/>
                <w:color w:val="1B75BC"/>
                <w:sz w:val="48"/>
                <w:szCs w:val="48"/>
              </w:rPr>
              <w:t>r</w:t>
            </w:r>
            <w:r w:rsidRPr="004F6C8F">
              <w:rPr>
                <w:rFonts w:asciiTheme="minorHAnsi" w:eastAsia="Arial" w:hAnsiTheme="minorHAnsi" w:cstheme="minorBidi"/>
                <w:b/>
                <w:bCs/>
                <w:color w:val="1B75BC"/>
                <w:sz w:val="48"/>
                <w:szCs w:val="48"/>
              </w:rPr>
              <w:t>forman</w:t>
            </w:r>
            <w:r w:rsidRPr="007C77D4">
              <w:rPr>
                <w:rFonts w:asciiTheme="minorHAnsi" w:eastAsia="Arial" w:hAnsiTheme="minorHAnsi" w:cstheme="minorBidi"/>
                <w:b/>
                <w:bCs/>
                <w:color w:val="1B75BC"/>
                <w:sz w:val="48"/>
                <w:szCs w:val="48"/>
              </w:rPr>
              <w:t>ce Plan (SPP)</w:t>
            </w:r>
          </w:p>
          <w:p w14:paraId="2F0F70D4" w14:textId="696DA8F3" w:rsidR="1B7C5E0B" w:rsidRDefault="004F6C8F" w:rsidP="004F6C8F">
            <w:pPr>
              <w:pStyle w:val="Title"/>
              <w:spacing w:after="200"/>
              <w:jc w:val="center"/>
              <w:rPr>
                <w:rFonts w:asciiTheme="minorHAnsi" w:eastAsia="Arial" w:hAnsiTheme="minorHAnsi" w:cstheme="minorBidi"/>
                <w:b/>
                <w:bCs/>
                <w:color w:val="082A75"/>
                <w:sz w:val="48"/>
                <w:szCs w:val="48"/>
              </w:rPr>
            </w:pPr>
            <w:r w:rsidRPr="007C77D4">
              <w:rPr>
                <w:rFonts w:asciiTheme="minorHAnsi" w:eastAsia="Arial" w:hAnsiTheme="minorHAnsi" w:cstheme="minorBidi"/>
                <w:b/>
                <w:bCs/>
                <w:color w:val="1B75BC"/>
                <w:sz w:val="48"/>
                <w:szCs w:val="48"/>
              </w:rPr>
              <w:t>Fact Sheet</w:t>
            </w:r>
          </w:p>
          <w:p w14:paraId="2846B97B" w14:textId="70C34184" w:rsidR="1B7C5E0B" w:rsidRDefault="1B7C5E0B" w:rsidP="1B7C5E0B">
            <w:pPr>
              <w:pStyle w:val="Title"/>
              <w:spacing w:after="200"/>
              <w:jc w:val="center"/>
              <w:rPr>
                <w:rFonts w:asciiTheme="minorHAnsi" w:eastAsia="Arial" w:hAnsiTheme="minorHAnsi" w:cstheme="minorBidi"/>
                <w:b/>
                <w:bCs/>
                <w:color w:val="082A75"/>
                <w:sz w:val="32"/>
                <w:szCs w:val="32"/>
              </w:rPr>
            </w:pPr>
            <w:r w:rsidRPr="004F6C8F">
              <w:rPr>
                <w:rFonts w:asciiTheme="minorHAnsi" w:eastAsia="Arial" w:hAnsiTheme="minorHAnsi" w:cstheme="minorBidi"/>
                <w:b/>
                <w:bCs/>
                <w:color w:val="1B75BC"/>
                <w:sz w:val="32"/>
                <w:szCs w:val="32"/>
              </w:rPr>
              <w:t>Indicator B4</w:t>
            </w:r>
            <w:r w:rsidR="00D71053" w:rsidRPr="004F6C8F">
              <w:rPr>
                <w:rFonts w:asciiTheme="minorHAnsi" w:eastAsia="Arial" w:hAnsiTheme="minorHAnsi" w:cstheme="minorBidi"/>
                <w:b/>
                <w:bCs/>
                <w:color w:val="1B75BC"/>
                <w:sz w:val="32"/>
                <w:szCs w:val="32"/>
              </w:rPr>
              <w:t>A</w:t>
            </w:r>
            <w:r w:rsidRPr="004F6C8F">
              <w:rPr>
                <w:rFonts w:asciiTheme="minorHAnsi" w:eastAsia="Arial" w:hAnsiTheme="minorHAnsi" w:cstheme="minorBidi"/>
                <w:b/>
                <w:bCs/>
                <w:color w:val="1B75BC"/>
                <w:sz w:val="32"/>
                <w:szCs w:val="32"/>
              </w:rPr>
              <w:t>: Suspension and Expulsion</w:t>
            </w:r>
          </w:p>
        </w:tc>
      </w:tr>
      <w:tr w:rsidR="1B7C5E0B" w14:paraId="2E1D28EB" w14:textId="77777777" w:rsidTr="1B7C5E0B">
        <w:trPr>
          <w:trHeight w:val="72"/>
        </w:trPr>
        <w:tc>
          <w:tcPr>
            <w:tcW w:w="2484" w:type="dxa"/>
            <w:gridSpan w:val="2"/>
            <w:shd w:val="clear" w:color="auto" w:fill="9F2065"/>
          </w:tcPr>
          <w:p w14:paraId="4F3C832A" w14:textId="77777777" w:rsidR="1B7C5E0B" w:rsidRDefault="1B7C5E0B" w:rsidP="1B7C5E0B">
            <w:pPr>
              <w:rPr>
                <w:noProof/>
              </w:rPr>
            </w:pPr>
          </w:p>
        </w:tc>
        <w:tc>
          <w:tcPr>
            <w:tcW w:w="2484" w:type="dxa"/>
            <w:shd w:val="clear" w:color="auto" w:fill="E26B2A"/>
          </w:tcPr>
          <w:p w14:paraId="1561D28A"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1B75BC"/>
          </w:tcPr>
          <w:p w14:paraId="628B44D2"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408740"/>
          </w:tcPr>
          <w:p w14:paraId="062CAE25" w14:textId="46579079" w:rsidR="1B7C5E0B" w:rsidRDefault="1B7C5E0B" w:rsidP="1B7C5E0B">
            <w:pPr>
              <w:pStyle w:val="Title"/>
              <w:rPr>
                <w:rFonts w:asciiTheme="minorHAnsi" w:eastAsia="Arial" w:hAnsiTheme="minorHAnsi" w:cstheme="minorBidi"/>
                <w:b/>
                <w:bCs/>
                <w:color w:val="082974"/>
                <w:sz w:val="22"/>
                <w:szCs w:val="22"/>
              </w:rPr>
            </w:pPr>
          </w:p>
        </w:tc>
      </w:tr>
    </w:tbl>
    <w:p w14:paraId="4FF6F2F1" w14:textId="0C6F4ABE" w:rsidR="2E477674" w:rsidRPr="004F6C8F" w:rsidRDefault="2E477674" w:rsidP="001010B9">
      <w:pPr>
        <w:pStyle w:val="Heading1"/>
        <w:rPr>
          <w:rFonts w:ascii="Calibri" w:eastAsia="Calibri" w:hAnsi="Calibri" w:cs="Calibri"/>
          <w:color w:val="1B75BC"/>
        </w:rPr>
      </w:pPr>
      <w:r w:rsidRPr="004F6C8F">
        <w:rPr>
          <w:rFonts w:ascii="Calibri" w:eastAsia="Calibri" w:hAnsi="Calibri" w:cs="Calibri"/>
          <w:b/>
          <w:bCs/>
          <w:color w:val="1B75BC"/>
        </w:rPr>
        <w:t>Oregon State Performance Plan</w:t>
      </w:r>
    </w:p>
    <w:p w14:paraId="54D091D1" w14:textId="2E4BBF14" w:rsidR="003931A2" w:rsidRDefault="003931A2" w:rsidP="003931A2">
      <w:pPr>
        <w:spacing w:line="240" w:lineRule="auto"/>
        <w:rPr>
          <w:rFonts w:ascii="Calibri" w:eastAsia="Calibri" w:hAnsi="Calibri" w:cs="Calibri"/>
          <w:color w:val="000000" w:themeColor="text1"/>
        </w:rPr>
      </w:pPr>
      <w:r w:rsidRPr="0E16BC08">
        <w:rPr>
          <w:rFonts w:ascii="Calibri" w:eastAsia="Calibri" w:hAnsi="Calibri" w:cs="Calibri"/>
          <w:color w:val="000000" w:themeColor="text1"/>
        </w:rPr>
        <w:t>Under the Individuals with Disabilities Education Act of 2004 (IDEA), the Oregon Department of Education (ODE) is required to submit a six-year State Performance Plan (SPP) to the Office of Special Education</w:t>
      </w:r>
      <w:r w:rsidR="00B56658">
        <w:rPr>
          <w:rFonts w:ascii="Calibri" w:eastAsia="Calibri" w:hAnsi="Calibri" w:cs="Calibri"/>
          <w:color w:val="000000" w:themeColor="text1"/>
        </w:rPr>
        <w:t xml:space="preserve"> Programs</w:t>
      </w:r>
      <w:r w:rsidRPr="0E16BC08">
        <w:rPr>
          <w:rFonts w:ascii="Calibri" w:eastAsia="Calibri" w:hAnsi="Calibri" w:cs="Calibri"/>
          <w:color w:val="000000" w:themeColor="text1"/>
        </w:rPr>
        <w:t xml:space="preserve">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ODE is currently seeking input related to the indicators for which targets must be established and will be holding a public input session to discuss data related to this indicator in December 2021. Please see the </w:t>
      </w:r>
      <w:hyperlink r:id="rId11">
        <w:r w:rsidRPr="0E16BC08">
          <w:rPr>
            <w:rStyle w:val="Hyperlink"/>
            <w:rFonts w:ascii="Calibri" w:eastAsia="Calibri" w:hAnsi="Calibri" w:cs="Calibri"/>
          </w:rPr>
          <w:t>ODE State Performance Plan and Annual Reports for Special Education webpage</w:t>
        </w:r>
      </w:hyperlink>
      <w:r w:rsidRPr="0E16BC08">
        <w:rPr>
          <w:rFonts w:ascii="Calibri" w:eastAsia="Calibri" w:hAnsi="Calibri" w:cs="Calibri"/>
          <w:color w:val="000000" w:themeColor="text1"/>
        </w:rPr>
        <w:t xml:space="preserve"> for more information and to register for the public input session. You can also provide input without attending the session through </w:t>
      </w:r>
      <w:hyperlink r:id="rId12">
        <w:r w:rsidRPr="0E16BC08">
          <w:rPr>
            <w:rStyle w:val="Hyperlink"/>
            <w:rFonts w:ascii="Calibri" w:eastAsia="Calibri" w:hAnsi="Calibri" w:cs="Calibri"/>
          </w:rPr>
          <w:t>this survey</w:t>
        </w:r>
      </w:hyperlink>
      <w:r w:rsidRPr="0E16BC08">
        <w:rPr>
          <w:rFonts w:ascii="Calibri" w:eastAsia="Calibri" w:hAnsi="Calibri" w:cs="Calibri"/>
          <w:color w:val="000000" w:themeColor="text1"/>
        </w:rPr>
        <w:t xml:space="preserve">. </w:t>
      </w:r>
    </w:p>
    <w:p w14:paraId="4B73E1C3" w14:textId="0BC52818" w:rsidR="000E4FA0" w:rsidRPr="004F6C8F" w:rsidRDefault="00CA3BE5" w:rsidP="001010B9">
      <w:pPr>
        <w:pStyle w:val="Heading1"/>
        <w:rPr>
          <w:rFonts w:asciiTheme="minorHAnsi" w:hAnsiTheme="minorHAnsi" w:cstheme="minorBidi"/>
          <w:b/>
          <w:bCs/>
          <w:color w:val="1B75BC"/>
        </w:rPr>
      </w:pPr>
      <w:r w:rsidRPr="004F6C8F">
        <w:rPr>
          <w:rFonts w:asciiTheme="minorHAnsi" w:hAnsiTheme="minorHAnsi" w:cstheme="minorBidi"/>
          <w:b/>
          <w:bCs/>
          <w:color w:val="1B75BC"/>
        </w:rPr>
        <w:t>What does this indicator measure</w:t>
      </w:r>
      <w:r w:rsidR="0ECBA6C1" w:rsidRPr="004F6C8F">
        <w:rPr>
          <w:rFonts w:asciiTheme="minorHAnsi" w:hAnsiTheme="minorHAnsi" w:cstheme="minorBidi"/>
          <w:b/>
          <w:bCs/>
          <w:color w:val="1B75BC"/>
        </w:rPr>
        <w:t xml:space="preserve"> and why is it important</w:t>
      </w:r>
      <w:r w:rsidRPr="004F6C8F">
        <w:rPr>
          <w:rFonts w:asciiTheme="minorHAnsi" w:hAnsiTheme="minorHAnsi" w:cstheme="minorBidi"/>
          <w:b/>
          <w:bCs/>
          <w:color w:val="1B75BC"/>
        </w:rPr>
        <w:t>?</w:t>
      </w:r>
    </w:p>
    <w:p w14:paraId="7556F5CC" w14:textId="5D8E6EE6" w:rsidR="0B99F1C1" w:rsidRDefault="39725B81" w:rsidP="00D762C9">
      <w:pPr>
        <w:spacing w:after="0"/>
        <w:rPr>
          <w:rFonts w:ascii="Calibri" w:eastAsia="Calibri" w:hAnsi="Calibri" w:cs="Calibri"/>
          <w:color w:val="000000" w:themeColor="text1"/>
        </w:rPr>
      </w:pPr>
      <w:r>
        <w:t xml:space="preserve">Indicator </w:t>
      </w:r>
      <w:r w:rsidR="003F29AA">
        <w:t>B</w:t>
      </w:r>
      <w:r>
        <w:t>4 is divided into two categories</w:t>
      </w:r>
      <w:r w:rsidR="07D04B2D">
        <w:t>.</w:t>
      </w:r>
      <w:r>
        <w:t xml:space="preserve"> </w:t>
      </w:r>
      <w:r w:rsidR="4D7D2065">
        <w:t xml:space="preserve">Indicator </w:t>
      </w:r>
      <w:r w:rsidR="003F29AA">
        <w:t>B</w:t>
      </w:r>
      <w:r w:rsidR="4D7D2065">
        <w:t xml:space="preserve">4A </w:t>
      </w:r>
      <w:r w:rsidR="00EA4E02">
        <w:t xml:space="preserve">is a performance indicator that </w:t>
      </w:r>
      <w:r w:rsidR="4D7D2065">
        <w:t>addresses</w:t>
      </w:r>
      <w:r w:rsidR="1BB44B0B" w:rsidRPr="0E16BC08">
        <w:rPr>
          <w:rFonts w:ascii="Calibri" w:eastAsia="Calibri" w:hAnsi="Calibri" w:cs="Calibri"/>
          <w:color w:val="000000" w:themeColor="text1"/>
        </w:rPr>
        <w:t xml:space="preserve"> a Free Appropriate Public Education (FAPE) in the Least Restrictive Environment (LRE)</w:t>
      </w:r>
      <w:r w:rsidR="4D7D2065">
        <w:t xml:space="preserve"> by measuring</w:t>
      </w:r>
      <w:r w:rsidR="003F29AA">
        <w:t xml:space="preserve"> the percent o</w:t>
      </w:r>
      <w:r w:rsidR="12ECAFE9" w:rsidRPr="0E16BC08">
        <w:rPr>
          <w:rFonts w:eastAsiaTheme="minorEastAsia"/>
          <w:color w:val="000000" w:themeColor="text1"/>
        </w:rPr>
        <w:t xml:space="preserve">f districts that have a significant discrepancy in the rate of suspensions and expulsions of greater than 10 days in a school year for children with </w:t>
      </w:r>
      <w:r w:rsidR="4CCE58BB" w:rsidRPr="0E16BC08">
        <w:rPr>
          <w:rFonts w:eastAsiaTheme="minorEastAsia"/>
          <w:color w:val="000000" w:themeColor="text1"/>
        </w:rPr>
        <w:t>IEPs (Individual</w:t>
      </w:r>
      <w:r w:rsidR="00CB4075" w:rsidRPr="0E16BC08">
        <w:rPr>
          <w:rFonts w:eastAsiaTheme="minorEastAsia"/>
          <w:color w:val="000000" w:themeColor="text1"/>
        </w:rPr>
        <w:t>ized</w:t>
      </w:r>
      <w:r w:rsidR="4CCE58BB" w:rsidRPr="0E16BC08">
        <w:rPr>
          <w:rFonts w:eastAsiaTheme="minorEastAsia"/>
          <w:color w:val="000000" w:themeColor="text1"/>
        </w:rPr>
        <w:t xml:space="preserve"> Education Programs).</w:t>
      </w:r>
      <w:r w:rsidR="003F29AA" w:rsidRPr="0E16BC08">
        <w:rPr>
          <w:rFonts w:eastAsiaTheme="minorEastAsia"/>
          <w:color w:val="000000" w:themeColor="text1"/>
        </w:rPr>
        <w:t xml:space="preserve"> </w:t>
      </w:r>
      <w:r w:rsidR="30E407B3">
        <w:t xml:space="preserve">Indicator </w:t>
      </w:r>
      <w:r w:rsidR="003F29AA">
        <w:t>B</w:t>
      </w:r>
      <w:r w:rsidR="30E407B3">
        <w:t xml:space="preserve">4B </w:t>
      </w:r>
      <w:r w:rsidR="003F29AA">
        <w:t>measures</w:t>
      </w:r>
      <w:r w:rsidR="30E407B3">
        <w:t xml:space="preserve"> r</w:t>
      </w:r>
      <w:r w:rsidR="30E407B3" w:rsidRPr="0E16BC08">
        <w:rPr>
          <w:rFonts w:eastAsiaTheme="minorEastAsia"/>
          <w:color w:val="000000" w:themeColor="text1"/>
        </w:rPr>
        <w:t>ates of suspension and expulsion</w:t>
      </w:r>
      <w:r w:rsidR="6B2CB8EF" w:rsidRPr="0E16BC08">
        <w:rPr>
          <w:rFonts w:eastAsiaTheme="minorEastAsia"/>
          <w:color w:val="000000" w:themeColor="text1"/>
        </w:rPr>
        <w:t xml:space="preserve"> by race/ethnicity</w:t>
      </w:r>
      <w:r w:rsidR="003F29AA" w:rsidRPr="0E16BC08">
        <w:rPr>
          <w:rFonts w:eastAsiaTheme="minorEastAsia"/>
          <w:color w:val="000000" w:themeColor="text1"/>
        </w:rPr>
        <w:t xml:space="preserve">, is a compliance indicator, and </w:t>
      </w:r>
      <w:r w:rsidR="008E65C5" w:rsidRPr="0E16BC08">
        <w:rPr>
          <w:rFonts w:eastAsiaTheme="minorEastAsia"/>
          <w:color w:val="000000" w:themeColor="text1"/>
        </w:rPr>
        <w:t>requires a target of 0%.</w:t>
      </w:r>
      <w:r w:rsidR="00D762C9" w:rsidRPr="0E16BC08">
        <w:rPr>
          <w:rFonts w:eastAsiaTheme="minorEastAsia"/>
          <w:color w:val="000000" w:themeColor="text1"/>
        </w:rPr>
        <w:t xml:space="preserve"> </w:t>
      </w:r>
      <w:r w:rsidR="003F29AA" w:rsidRPr="0E16BC08">
        <w:rPr>
          <w:rFonts w:ascii="Calibri" w:eastAsia="Calibri" w:hAnsi="Calibri" w:cs="Calibri"/>
          <w:color w:val="000000" w:themeColor="text1"/>
        </w:rPr>
        <w:t xml:space="preserve">Indicator B4 is a critical equity indicator </w:t>
      </w:r>
      <w:r w:rsidR="0B99F1C1" w:rsidRPr="0E16BC08">
        <w:rPr>
          <w:rFonts w:ascii="Calibri" w:eastAsia="Calibri" w:hAnsi="Calibri" w:cs="Calibri"/>
          <w:color w:val="000000" w:themeColor="text1"/>
        </w:rPr>
        <w:t xml:space="preserve">that </w:t>
      </w:r>
      <w:r w:rsidR="003B2D38" w:rsidRPr="0E16BC08">
        <w:rPr>
          <w:rFonts w:ascii="Calibri" w:eastAsia="Calibri" w:hAnsi="Calibri" w:cs="Calibri"/>
          <w:color w:val="000000" w:themeColor="text1"/>
        </w:rPr>
        <w:t xml:space="preserve">examines the </w:t>
      </w:r>
      <w:r w:rsidR="0B99F1C1" w:rsidRPr="0E16BC08">
        <w:rPr>
          <w:rFonts w:ascii="Calibri" w:eastAsia="Calibri" w:hAnsi="Calibri" w:cs="Calibri"/>
          <w:color w:val="000000" w:themeColor="text1"/>
        </w:rPr>
        <w:t>suspension/expulsion rate for children with disabilities compared to the district-level suspension/expulsion rate for children without disabilities.</w:t>
      </w:r>
      <w:r w:rsidR="00CB4075" w:rsidRPr="0E16BC08">
        <w:rPr>
          <w:rFonts w:ascii="Calibri" w:eastAsia="Calibri" w:hAnsi="Calibri" w:cs="Calibri"/>
          <w:color w:val="000000" w:themeColor="text1"/>
        </w:rPr>
        <w:t xml:space="preserve"> </w:t>
      </w:r>
      <w:r w:rsidR="003B2D38" w:rsidRPr="0E16BC08">
        <w:rPr>
          <w:rFonts w:ascii="Calibri" w:eastAsia="Calibri" w:hAnsi="Calibri" w:cs="Calibri"/>
          <w:color w:val="000000" w:themeColor="text1"/>
        </w:rPr>
        <w:t xml:space="preserve">It speaks to Oregon’s capacity to </w:t>
      </w:r>
      <w:r w:rsidR="00EA4E02" w:rsidRPr="0E16BC08">
        <w:rPr>
          <w:rFonts w:ascii="Calibri" w:eastAsia="Calibri" w:hAnsi="Calibri" w:cs="Calibri"/>
          <w:color w:val="000000" w:themeColor="text1"/>
        </w:rPr>
        <w:t>educate children experiencing disability without using exclusionary discipline.</w:t>
      </w:r>
    </w:p>
    <w:p w14:paraId="21AABC0C" w14:textId="359082F6" w:rsidR="6CBDC2CC" w:rsidRPr="004F6C8F" w:rsidRDefault="00356BE5" w:rsidP="594D45D0">
      <w:pPr>
        <w:pStyle w:val="Heading1"/>
        <w:rPr>
          <w:rFonts w:asciiTheme="minorHAnsi" w:hAnsiTheme="minorHAnsi" w:cstheme="minorBidi"/>
          <w:b/>
          <w:bCs/>
          <w:color w:val="1B75BC"/>
        </w:rPr>
      </w:pPr>
      <w:r w:rsidRPr="004F6C8F">
        <w:rPr>
          <w:rFonts w:asciiTheme="minorHAnsi" w:hAnsiTheme="minorHAnsi" w:cstheme="minorBidi"/>
          <w:b/>
          <w:bCs/>
          <w:color w:val="1B75BC"/>
        </w:rPr>
        <w:t>What is the data source</w:t>
      </w:r>
      <w:r w:rsidR="404F61D3" w:rsidRPr="004F6C8F">
        <w:rPr>
          <w:rFonts w:asciiTheme="minorHAnsi" w:hAnsiTheme="minorHAnsi" w:cstheme="minorBidi"/>
          <w:b/>
          <w:bCs/>
          <w:color w:val="1B75BC"/>
        </w:rPr>
        <w:t xml:space="preserve"> for Indicator 4</w:t>
      </w:r>
      <w:r w:rsidRPr="004F6C8F">
        <w:rPr>
          <w:rFonts w:asciiTheme="minorHAnsi" w:hAnsiTheme="minorHAnsi" w:cstheme="minorBidi"/>
          <w:b/>
          <w:bCs/>
          <w:color w:val="1B75BC"/>
        </w:rPr>
        <w:t>?</w:t>
      </w:r>
    </w:p>
    <w:p w14:paraId="547500C5" w14:textId="083F6790" w:rsidR="0D0A4BA7" w:rsidRDefault="5216D46F" w:rsidP="1B7C5E0B">
      <w:pPr>
        <w:rPr>
          <w:rFonts w:eastAsiaTheme="minorEastAsia"/>
          <w:color w:val="000000" w:themeColor="text1"/>
        </w:rPr>
      </w:pPr>
      <w:r w:rsidRPr="1B7C5E0B">
        <w:rPr>
          <w:rFonts w:eastAsiaTheme="minorEastAsia"/>
          <w:color w:val="000000" w:themeColor="text1"/>
        </w:rPr>
        <w:t xml:space="preserve">Indicator </w:t>
      </w:r>
      <w:r w:rsidR="4B11191C" w:rsidRPr="1B7C5E0B">
        <w:rPr>
          <w:rFonts w:eastAsiaTheme="minorEastAsia"/>
          <w:color w:val="000000" w:themeColor="text1"/>
        </w:rPr>
        <w:t>B</w:t>
      </w:r>
      <w:r w:rsidRPr="1B7C5E0B">
        <w:rPr>
          <w:rFonts w:eastAsiaTheme="minorEastAsia"/>
          <w:color w:val="000000" w:themeColor="text1"/>
        </w:rPr>
        <w:t xml:space="preserve">4 (both </w:t>
      </w:r>
      <w:r w:rsidR="7ADECC18" w:rsidRPr="1B7C5E0B">
        <w:rPr>
          <w:rFonts w:eastAsiaTheme="minorEastAsia"/>
          <w:color w:val="000000" w:themeColor="text1"/>
        </w:rPr>
        <w:t>B</w:t>
      </w:r>
      <w:r w:rsidRPr="1B7C5E0B">
        <w:rPr>
          <w:rFonts w:eastAsiaTheme="minorEastAsia"/>
          <w:color w:val="000000" w:themeColor="text1"/>
        </w:rPr>
        <w:t>4</w:t>
      </w:r>
      <w:r w:rsidR="5878D708" w:rsidRPr="1B7C5E0B">
        <w:rPr>
          <w:rFonts w:eastAsiaTheme="minorEastAsia"/>
          <w:color w:val="000000" w:themeColor="text1"/>
        </w:rPr>
        <w:t>A</w:t>
      </w:r>
      <w:r w:rsidRPr="1B7C5E0B">
        <w:rPr>
          <w:rFonts w:eastAsiaTheme="minorEastAsia"/>
          <w:color w:val="000000" w:themeColor="text1"/>
        </w:rPr>
        <w:t xml:space="preserve"> and </w:t>
      </w:r>
      <w:r w:rsidR="49F4EE38" w:rsidRPr="1B7C5E0B">
        <w:rPr>
          <w:rFonts w:eastAsiaTheme="minorEastAsia"/>
          <w:color w:val="000000" w:themeColor="text1"/>
        </w:rPr>
        <w:t>B</w:t>
      </w:r>
      <w:r w:rsidRPr="1B7C5E0B">
        <w:rPr>
          <w:rFonts w:eastAsiaTheme="minorEastAsia"/>
          <w:color w:val="000000" w:themeColor="text1"/>
        </w:rPr>
        <w:t>4</w:t>
      </w:r>
      <w:r w:rsidR="082CC511" w:rsidRPr="1B7C5E0B">
        <w:rPr>
          <w:rFonts w:eastAsiaTheme="minorEastAsia"/>
          <w:color w:val="000000" w:themeColor="text1"/>
        </w:rPr>
        <w:t>B</w:t>
      </w:r>
      <w:r w:rsidRPr="1B7C5E0B">
        <w:rPr>
          <w:rFonts w:eastAsiaTheme="minorEastAsia"/>
          <w:color w:val="000000" w:themeColor="text1"/>
        </w:rPr>
        <w:t>) use</w:t>
      </w:r>
      <w:r w:rsidR="00D9277C">
        <w:rPr>
          <w:rFonts w:eastAsiaTheme="minorEastAsia"/>
          <w:color w:val="000000" w:themeColor="text1"/>
        </w:rPr>
        <w:t>s</w:t>
      </w:r>
      <w:r w:rsidRPr="1B7C5E0B">
        <w:rPr>
          <w:rFonts w:eastAsiaTheme="minorEastAsia"/>
          <w:color w:val="000000" w:themeColor="text1"/>
        </w:rPr>
        <w:t xml:space="preserve"> the S</w:t>
      </w:r>
      <w:r w:rsidR="0D0A4BA7" w:rsidRPr="1B7C5E0B">
        <w:rPr>
          <w:rFonts w:eastAsiaTheme="minorEastAsia"/>
          <w:color w:val="000000" w:themeColor="text1"/>
        </w:rPr>
        <w:t xml:space="preserve">tate discipline data, including </w:t>
      </w:r>
      <w:r w:rsidR="4FEDB4EA" w:rsidRPr="1B7C5E0B">
        <w:rPr>
          <w:rFonts w:eastAsiaTheme="minorEastAsia"/>
          <w:color w:val="000000" w:themeColor="text1"/>
        </w:rPr>
        <w:t xml:space="preserve">the </w:t>
      </w:r>
      <w:r w:rsidR="0D0A4BA7" w:rsidRPr="1B7C5E0B">
        <w:rPr>
          <w:rFonts w:eastAsiaTheme="minorEastAsia"/>
          <w:color w:val="000000" w:themeColor="text1"/>
        </w:rPr>
        <w:t xml:space="preserve">State’s analysis of </w:t>
      </w:r>
      <w:r w:rsidR="3D2BDA56" w:rsidRPr="1B7C5E0B">
        <w:rPr>
          <w:rFonts w:eastAsiaTheme="minorEastAsia"/>
          <w:color w:val="000000" w:themeColor="text1"/>
        </w:rPr>
        <w:t xml:space="preserve">the </w:t>
      </w:r>
      <w:r w:rsidR="0D0A4BA7" w:rsidRPr="1B7C5E0B">
        <w:rPr>
          <w:rFonts w:eastAsiaTheme="minorEastAsia"/>
          <w:color w:val="000000" w:themeColor="text1"/>
        </w:rPr>
        <w:t>State’s Discipline data collected under IDEA Section 618</w:t>
      </w:r>
      <w:r w:rsidR="43F249A9" w:rsidRPr="1B7C5E0B">
        <w:rPr>
          <w:rFonts w:eastAsiaTheme="minorEastAsia"/>
          <w:color w:val="000000" w:themeColor="text1"/>
        </w:rPr>
        <w:t xml:space="preserve">. </w:t>
      </w:r>
      <w:r w:rsidR="0D0A4BA7" w:rsidRPr="1B7C5E0B">
        <w:rPr>
          <w:rFonts w:eastAsiaTheme="minorEastAsia"/>
          <w:color w:val="000000" w:themeColor="text1"/>
        </w:rPr>
        <w:t>Discrepancy can be computed by either comparing the rates of suspensions and expulsions for children with IEPs to rates for nondisabled children within the LEA or by comparing the rates of suspensions and expulsions for children with IEPs among LEAs within the State.</w:t>
      </w:r>
      <w:r w:rsidR="282E2091" w:rsidRPr="1B7C5E0B">
        <w:rPr>
          <w:rFonts w:eastAsiaTheme="minorEastAsia"/>
          <w:color w:val="000000" w:themeColor="text1"/>
        </w:rPr>
        <w:t xml:space="preserve"> In Oregon, this data is computed by comparing the rates of suspensions and expulsions for children with IEPs to rates for nondisabled children within the LEA.</w:t>
      </w:r>
    </w:p>
    <w:p w14:paraId="397FDAF9" w14:textId="632789CB" w:rsidR="001010B9" w:rsidRPr="004F6C8F" w:rsidRDefault="001010B9" w:rsidP="001010B9">
      <w:pPr>
        <w:pStyle w:val="Heading1"/>
        <w:rPr>
          <w:rFonts w:asciiTheme="minorHAnsi" w:hAnsiTheme="minorHAnsi" w:cstheme="minorBidi"/>
          <w:b/>
          <w:bCs/>
          <w:color w:val="1B75BC"/>
        </w:rPr>
      </w:pPr>
      <w:r w:rsidRPr="004F6C8F">
        <w:rPr>
          <w:rFonts w:asciiTheme="minorHAnsi" w:hAnsiTheme="minorHAnsi" w:cstheme="minorBidi"/>
          <w:b/>
          <w:bCs/>
          <w:color w:val="1B75BC"/>
        </w:rPr>
        <w:t>Does the baseline need to be s</w:t>
      </w:r>
      <w:r w:rsidR="00D762C9" w:rsidRPr="004F6C8F">
        <w:rPr>
          <w:rFonts w:asciiTheme="minorHAnsi" w:hAnsiTheme="minorHAnsi" w:cstheme="minorBidi"/>
          <w:b/>
          <w:bCs/>
          <w:color w:val="1B75BC"/>
        </w:rPr>
        <w:t>et or reset for this indicator?</w:t>
      </w:r>
    </w:p>
    <w:p w14:paraId="26E510EF" w14:textId="4B9CC52F" w:rsidR="001010B9" w:rsidRPr="003931A2" w:rsidRDefault="00D762C9" w:rsidP="003931A2">
      <w:r>
        <w:t xml:space="preserve">Yes, ODE </w:t>
      </w:r>
      <w:r w:rsidR="004C5ABE">
        <w:t>proposes</w:t>
      </w:r>
      <w:r w:rsidR="00F14F43">
        <w:t xml:space="preserve"> </w:t>
      </w:r>
      <w:r>
        <w:t xml:space="preserve">using </w:t>
      </w:r>
      <w:r w:rsidR="00B30905">
        <w:t xml:space="preserve">the most recently established target </w:t>
      </w:r>
      <w:r>
        <w:t>(6</w:t>
      </w:r>
      <w:r w:rsidR="00B30905">
        <w:t>2</w:t>
      </w:r>
      <w:r>
        <w:t>.</w:t>
      </w:r>
      <w:r w:rsidR="00B30905">
        <w:t>00</w:t>
      </w:r>
      <w:r>
        <w:t>%, in 2019) as a new baseline for this indicator for the FFY 2020-2025 State Performance Plan</w:t>
      </w:r>
      <w:r w:rsidR="001010B9">
        <w:t>.</w:t>
      </w:r>
    </w:p>
    <w:p w14:paraId="0A61ADA5" w14:textId="616C03DB" w:rsidR="00C06C4E" w:rsidRPr="004F6C8F" w:rsidRDefault="137D2887" w:rsidP="0E16BC08">
      <w:pPr>
        <w:pStyle w:val="Heading1"/>
        <w:spacing w:after="120"/>
        <w:rPr>
          <w:rFonts w:asciiTheme="minorHAnsi" w:hAnsiTheme="minorHAnsi" w:cstheme="minorBidi"/>
          <w:b/>
          <w:bCs/>
          <w:color w:val="1B75BC"/>
        </w:rPr>
      </w:pPr>
      <w:r w:rsidRPr="004F6C8F">
        <w:rPr>
          <w:rFonts w:asciiTheme="minorHAnsi" w:hAnsiTheme="minorHAnsi" w:cstheme="minorBidi"/>
          <w:b/>
          <w:bCs/>
          <w:color w:val="1B75BC"/>
        </w:rPr>
        <w:lastRenderedPageBreak/>
        <w:t>H</w:t>
      </w:r>
      <w:r w:rsidR="00C41661" w:rsidRPr="004F6C8F">
        <w:rPr>
          <w:rFonts w:asciiTheme="minorHAnsi" w:hAnsiTheme="minorHAnsi" w:cstheme="minorBidi"/>
          <w:b/>
          <w:bCs/>
          <w:color w:val="1B75BC"/>
        </w:rPr>
        <w:t>ow has Oregon performed over time?</w:t>
      </w:r>
    </w:p>
    <w:p w14:paraId="206EE662" w14:textId="7B1CBA5C" w:rsidR="00D762C9" w:rsidRDefault="00DE49CF" w:rsidP="005A7631">
      <w:pPr>
        <w:jc w:val="center"/>
        <w:rPr>
          <w:rFonts w:ascii="Arial" w:eastAsia="Arial" w:hAnsi="Arial" w:cs="Arial"/>
          <w:b/>
          <w:bCs/>
          <w:color w:val="000000" w:themeColor="text1"/>
          <w:sz w:val="16"/>
          <w:szCs w:val="16"/>
        </w:rPr>
      </w:pPr>
      <w:r>
        <w:rPr>
          <w:noProof/>
        </w:rPr>
        <mc:AlternateContent>
          <mc:Choice Requires="wps">
            <w:drawing>
              <wp:anchor distT="0" distB="0" distL="114300" distR="114300" simplePos="0" relativeHeight="251661312" behindDoc="0" locked="0" layoutInCell="1" allowOverlap="1" wp14:anchorId="41CC8100" wp14:editId="57049F25">
                <wp:simplePos x="0" y="0"/>
                <wp:positionH relativeFrom="column">
                  <wp:posOffset>1156914</wp:posOffset>
                </wp:positionH>
                <wp:positionV relativeFrom="paragraph">
                  <wp:posOffset>819785</wp:posOffset>
                </wp:positionV>
                <wp:extent cx="1144270" cy="683895"/>
                <wp:effectExtent l="0" t="0" r="17780" b="20955"/>
                <wp:wrapNone/>
                <wp:docPr id="5" name="Rectangle 4"/>
                <wp:cNvGraphicFramePr/>
                <a:graphic xmlns:a="http://schemas.openxmlformats.org/drawingml/2006/main">
                  <a:graphicData uri="http://schemas.microsoft.com/office/word/2010/wordprocessingShape">
                    <wps:wsp>
                      <wps:cNvSpPr/>
                      <wps:spPr>
                        <a:xfrm>
                          <a:off x="0" y="0"/>
                          <a:ext cx="1144270" cy="683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BF4B7" w14:textId="77777777" w:rsidR="00800630" w:rsidRPr="00800630" w:rsidRDefault="00800630" w:rsidP="00800630">
                            <w:pPr>
                              <w:pStyle w:val="NormalWeb"/>
                              <w:spacing w:before="0" w:beforeAutospacing="0" w:after="0" w:afterAutospacing="0"/>
                              <w:jc w:val="center"/>
                              <w:rPr>
                                <w:sz w:val="20"/>
                              </w:rPr>
                            </w:pPr>
                            <w:r w:rsidRPr="00800630">
                              <w:rPr>
                                <w:rFonts w:asciiTheme="minorHAnsi" w:hAnsi="Calibri" w:cstheme="minorBidi"/>
                                <w:color w:val="FFFFFF" w:themeColor="light1"/>
                                <w:sz w:val="18"/>
                                <w:szCs w:val="22"/>
                              </w:rPr>
                              <w:t>These percentages were calculated using all districts regardless of n-size.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http://schemas.openxmlformats.org/drawingml/2006/chart">
            <w:pict>
              <v:rect id="Rectangle 4" style="position:absolute;left:0;text-align:left;margin-left:91.1pt;margin-top:64.55pt;width:90.1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472c4 [3204]" strokecolor="#1f3763 [1604]" strokeweight="1pt" w14:anchorId="41CC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">
                <v:textbox>
                  <w:txbxContent>
                    <w:p w:rsidRPr="00800630" w:rsidR="00800630" w:rsidP="00800630" w:rsidRDefault="00800630" w14:paraId="2D0BF4B7" w14:textId="77777777">
                      <w:pPr>
                        <w:pStyle w:val="NormalWeb"/>
                        <w:spacing w:before="0" w:beforeAutospacing="0" w:after="0" w:afterAutospacing="0"/>
                        <w:jc w:val="center"/>
                        <w:rPr>
                          <w:sz w:val="20"/>
                        </w:rPr>
                      </w:pPr>
                      <w:r w:rsidRPr="00800630">
                        <w:rPr>
                          <w:rFonts w:hAnsi="Calibri" w:asciiTheme="minorHAnsi" w:cstheme="minorBidi"/>
                          <w:color w:val="FFFFFF" w:themeColor="light1"/>
                          <w:sz w:val="18"/>
                          <w:szCs w:val="22"/>
                        </w:rPr>
                        <w:t>These percentages were calculated using all districts regardless of n-size.</w:t>
                      </w:r>
                    </w:p>
                  </w:txbxContent>
                </v:textbox>
              </v:rect>
            </w:pict>
          </mc:Fallback>
        </mc:AlternateContent>
      </w:r>
      <w:r>
        <w:rPr>
          <w:rFonts w:ascii="Arial" w:eastAsia="Arial" w:hAnsi="Arial" w:cs="Arial"/>
          <w:b/>
          <w:bCs/>
          <w:noProof/>
          <w:color w:val="000000" w:themeColor="text1"/>
          <w:sz w:val="16"/>
          <w:szCs w:val="16"/>
        </w:rPr>
        <mc:AlternateContent>
          <mc:Choice Requires="wps">
            <w:drawing>
              <wp:anchor distT="0" distB="0" distL="114300" distR="114300" simplePos="0" relativeHeight="251659264" behindDoc="0" locked="0" layoutInCell="1" allowOverlap="1" wp14:anchorId="51424591" wp14:editId="26862874">
                <wp:simplePos x="0" y="0"/>
                <wp:positionH relativeFrom="column">
                  <wp:posOffset>2784580</wp:posOffset>
                </wp:positionH>
                <wp:positionV relativeFrom="paragraph">
                  <wp:posOffset>470535</wp:posOffset>
                </wp:positionV>
                <wp:extent cx="0" cy="2322195"/>
                <wp:effectExtent l="0" t="0" r="19050" b="20955"/>
                <wp:wrapNone/>
                <wp:docPr id="3" name="Straight Connector 3" descr="This is a vertical line on top of the graph showing Oregon's statewide targets and actual data for Indicator B4A. The line sits in a gap in the data between 2015 and 2016, representing a change in the baseline data Oregon uses for indicator B4A." title="Phase Change Line"/>
                <wp:cNvGraphicFramePr/>
                <a:graphic xmlns:a="http://schemas.openxmlformats.org/drawingml/2006/main">
                  <a:graphicData uri="http://schemas.microsoft.com/office/word/2010/wordprocessingShape">
                    <wps:wsp>
                      <wps:cNvCnPr/>
                      <wps:spPr>
                        <a:xfrm>
                          <a:off x="0" y="0"/>
                          <a:ext cx="0" cy="2322195"/>
                        </a:xfrm>
                        <a:prstGeom prst="line">
                          <a:avLst/>
                        </a:prstGeom>
                        <a:ln w="19050" cap="flat" cmpd="sng" algn="ctr">
                          <a:solidFill>
                            <a:srgbClr val="1B75BC"/>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http://schemas.openxmlformats.org/drawingml/2006/chart">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Phase Change Line - Description: This is a vertical line on top of the graph showing Oregon's statewide targets and actual data for Indicator B4A. The line sits in a gap in the data between 2015 and 2016, representing a change in the baseline data Oregon uses for indicator B4A." o:spid="_x0000_s1026" strokecolor="#1b75bc" strokeweight="1.5pt" from="219.25pt,37.05pt" to="219.25pt,219.9pt" w14:anchorId="27515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"/>
            </w:pict>
          </mc:Fallback>
        </mc:AlternateContent>
      </w:r>
      <w:r w:rsidR="00800630">
        <w:rPr>
          <w:noProof/>
        </w:rPr>
        <mc:AlternateContent>
          <mc:Choice Requires="wps">
            <w:drawing>
              <wp:anchor distT="0" distB="0" distL="114300" distR="114300" simplePos="0" relativeHeight="251663360" behindDoc="0" locked="0" layoutInCell="1" allowOverlap="1" wp14:anchorId="5266A3E6" wp14:editId="18265602">
                <wp:simplePos x="0" y="0"/>
                <wp:positionH relativeFrom="column">
                  <wp:posOffset>3486746</wp:posOffset>
                </wp:positionH>
                <wp:positionV relativeFrom="paragraph">
                  <wp:posOffset>1818332</wp:posOffset>
                </wp:positionV>
                <wp:extent cx="1470792" cy="819150"/>
                <wp:effectExtent l="0" t="0" r="15240" b="19050"/>
                <wp:wrapNone/>
                <wp:docPr id="6" name="Rectangle 5"/>
                <wp:cNvGraphicFramePr/>
                <a:graphic xmlns:a="http://schemas.openxmlformats.org/drawingml/2006/main">
                  <a:graphicData uri="http://schemas.microsoft.com/office/word/2010/wordprocessingShape">
                    <wps:wsp>
                      <wps:cNvSpPr/>
                      <wps:spPr>
                        <a:xfrm>
                          <a:off x="0" y="0"/>
                          <a:ext cx="1470792"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C6622" w14:textId="77777777" w:rsidR="00800630" w:rsidRDefault="00800630" w:rsidP="00800630">
                            <w:pPr>
                              <w:pStyle w:val="NormalWeb"/>
                              <w:spacing w:before="0" w:beforeAutospacing="0" w:after="0" w:afterAutospacing="0"/>
                              <w:jc w:val="center"/>
                            </w:pPr>
                            <w:r>
                              <w:rPr>
                                <w:rFonts w:asciiTheme="minorHAnsi" w:hAnsi="Calibri" w:cstheme="minorBidi"/>
                                <w:color w:val="FFFFFF" w:themeColor="light1"/>
                                <w:sz w:val="22"/>
                                <w:szCs w:val="22"/>
                              </w:rPr>
                              <w:t>In 2016, ODE established a new baseline to account for n-size.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v:rect id="Rectangle 5" style="position:absolute;left:0;text-align:left;margin-left:274.55pt;margin-top:143.2pt;width:115.8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4472c4 [3204]" strokecolor="#1f3763 [1604]" strokeweight="1pt" w14:anchorId="5266A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">
                <v:textbox>
                  <w:txbxContent>
                    <w:p w:rsidR="00800630" w:rsidP="00800630" w:rsidRDefault="00800630" w14:paraId="398C6622" w14:textId="77777777">
                      <w:pPr>
                        <w:pStyle w:val="NormalWeb"/>
                        <w:spacing w:before="0" w:beforeAutospacing="0" w:after="0" w:afterAutospacing="0"/>
                        <w:jc w:val="center"/>
                      </w:pPr>
                      <w:r>
                        <w:rPr>
                          <w:rFonts w:hAnsi="Calibri" w:asciiTheme="minorHAnsi" w:cstheme="minorBidi"/>
                          <w:color w:val="FFFFFF" w:themeColor="light1"/>
                          <w:sz w:val="22"/>
                          <w:szCs w:val="22"/>
                        </w:rPr>
                        <w:t>In 2016, ODE established a new baseline to account for n-size.</w:t>
                      </w:r>
                    </w:p>
                  </w:txbxContent>
                </v:textbox>
              </v:rect>
            </w:pict>
          </mc:Fallback>
        </mc:AlternateContent>
      </w:r>
      <w:r w:rsidR="00800630">
        <w:rPr>
          <w:noProof/>
        </w:rPr>
        <w:drawing>
          <wp:inline distT="0" distB="0" distL="0" distR="0" wp14:anchorId="17E698DF" wp14:editId="296B51DC">
            <wp:extent cx="5315357" cy="3383280"/>
            <wp:effectExtent l="0" t="0" r="0" b="7620"/>
            <wp:docPr id="1" name="Chart 1" descr="This chart shows Oregon's targets and actual statewide data from 2014 - 2019.  There is a gap between 2015 and 2016, with a vertical line to represent two different phases of data. The data on the right side of the line uses the current SPP baseline for Indicator B4B, which was established in 2016." title="Oregon's Indicator B4A (Suspension/Expulsion) 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7915" w:type="dxa"/>
        <w:jc w:val="center"/>
        <w:tblLayout w:type="fixed"/>
        <w:tblLook w:val="04A0" w:firstRow="1" w:lastRow="0" w:firstColumn="1" w:lastColumn="0" w:noHBand="0" w:noVBand="1"/>
        <w:tblCaption w:val="Oregon's Indicator B4B Data"/>
        <w:tblDescription w:val="This table shows the statewide targets and actual data for Oregon for Indicator B4B."/>
      </w:tblPr>
      <w:tblGrid>
        <w:gridCol w:w="989"/>
        <w:gridCol w:w="989"/>
        <w:gridCol w:w="990"/>
        <w:gridCol w:w="989"/>
        <w:gridCol w:w="989"/>
        <w:gridCol w:w="990"/>
        <w:gridCol w:w="989"/>
        <w:gridCol w:w="990"/>
      </w:tblGrid>
      <w:tr w:rsidR="005A7631" w14:paraId="70744F58" w14:textId="77777777" w:rsidTr="00344E90">
        <w:trPr>
          <w:tblHeader/>
          <w:jc w:val="center"/>
        </w:trPr>
        <w:tc>
          <w:tcPr>
            <w:tcW w:w="989" w:type="dxa"/>
          </w:tcPr>
          <w:p w14:paraId="1F0AF2BE" w14:textId="77777777" w:rsidR="005A7631" w:rsidRPr="00B542E4" w:rsidRDefault="005A7631" w:rsidP="00137C0D">
            <w:pPr>
              <w:jc w:val="center"/>
              <w:rPr>
                <w:b/>
              </w:rPr>
            </w:pPr>
            <w:r w:rsidRPr="00B542E4">
              <w:rPr>
                <w:b/>
              </w:rPr>
              <w:t>FFY</w:t>
            </w:r>
          </w:p>
        </w:tc>
        <w:tc>
          <w:tcPr>
            <w:tcW w:w="989" w:type="dxa"/>
          </w:tcPr>
          <w:p w14:paraId="020F2BDC" w14:textId="7C00AFA8" w:rsidR="005A7631" w:rsidRPr="00B542E4" w:rsidRDefault="005A7631" w:rsidP="00137C0D">
            <w:pPr>
              <w:jc w:val="center"/>
              <w:rPr>
                <w:b/>
                <w:bCs/>
              </w:rPr>
            </w:pPr>
            <w:r>
              <w:rPr>
                <w:b/>
                <w:bCs/>
              </w:rPr>
              <w:t>2016</w:t>
            </w:r>
          </w:p>
        </w:tc>
        <w:tc>
          <w:tcPr>
            <w:tcW w:w="990" w:type="dxa"/>
            <w:tcBorders>
              <w:right w:val="single" w:sz="4" w:space="0" w:color="auto"/>
            </w:tcBorders>
            <w:shd w:val="clear" w:color="auto" w:fill="auto"/>
          </w:tcPr>
          <w:p w14:paraId="1B123951" w14:textId="77777777" w:rsidR="005A7631" w:rsidRPr="00DE49CF" w:rsidRDefault="005A7631" w:rsidP="00137C0D">
            <w:pPr>
              <w:jc w:val="center"/>
              <w:rPr>
                <w:b/>
              </w:rPr>
            </w:pPr>
            <w:r w:rsidRPr="00DE49CF">
              <w:rPr>
                <w:b/>
              </w:rPr>
              <w:t>2014</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252D9A38" w14:textId="77777777" w:rsidR="005A7631" w:rsidRPr="00DE49CF" w:rsidRDefault="005A7631" w:rsidP="00137C0D">
            <w:pPr>
              <w:jc w:val="center"/>
              <w:rPr>
                <w:b/>
              </w:rPr>
            </w:pPr>
            <w:r w:rsidRPr="00DE49CF">
              <w:rPr>
                <w:b/>
              </w:rPr>
              <w:t>2015</w:t>
            </w:r>
          </w:p>
        </w:tc>
        <w:tc>
          <w:tcPr>
            <w:tcW w:w="989" w:type="dxa"/>
            <w:tcBorders>
              <w:top w:val="single" w:sz="4" w:space="0" w:color="auto"/>
              <w:left w:val="single" w:sz="18" w:space="0" w:color="1B75BC"/>
              <w:bottom w:val="single" w:sz="4" w:space="0" w:color="auto"/>
              <w:right w:val="single" w:sz="4" w:space="0" w:color="auto"/>
            </w:tcBorders>
          </w:tcPr>
          <w:p w14:paraId="61820CE4" w14:textId="77777777" w:rsidR="005A7631" w:rsidRPr="00B542E4" w:rsidRDefault="005A7631" w:rsidP="00137C0D">
            <w:pPr>
              <w:jc w:val="center"/>
              <w:rPr>
                <w:b/>
              </w:rPr>
            </w:pPr>
            <w:r w:rsidRPr="00B542E4">
              <w:rPr>
                <w:b/>
              </w:rPr>
              <w:t>2016</w:t>
            </w:r>
          </w:p>
        </w:tc>
        <w:tc>
          <w:tcPr>
            <w:tcW w:w="990" w:type="dxa"/>
            <w:tcBorders>
              <w:left w:val="single" w:sz="4" w:space="0" w:color="auto"/>
            </w:tcBorders>
          </w:tcPr>
          <w:p w14:paraId="553569A8" w14:textId="77777777" w:rsidR="005A7631" w:rsidRPr="00B542E4" w:rsidRDefault="005A7631" w:rsidP="00137C0D">
            <w:pPr>
              <w:jc w:val="center"/>
              <w:rPr>
                <w:b/>
              </w:rPr>
            </w:pPr>
            <w:r w:rsidRPr="00B542E4">
              <w:rPr>
                <w:b/>
              </w:rPr>
              <w:t>2017</w:t>
            </w:r>
          </w:p>
        </w:tc>
        <w:tc>
          <w:tcPr>
            <w:tcW w:w="989" w:type="dxa"/>
          </w:tcPr>
          <w:p w14:paraId="7D234245" w14:textId="77777777" w:rsidR="005A7631" w:rsidRPr="00B542E4" w:rsidRDefault="005A7631" w:rsidP="00137C0D">
            <w:pPr>
              <w:jc w:val="center"/>
              <w:rPr>
                <w:b/>
              </w:rPr>
            </w:pPr>
            <w:r w:rsidRPr="00B542E4">
              <w:rPr>
                <w:b/>
              </w:rPr>
              <w:t>2018</w:t>
            </w:r>
          </w:p>
        </w:tc>
        <w:tc>
          <w:tcPr>
            <w:tcW w:w="990" w:type="dxa"/>
          </w:tcPr>
          <w:p w14:paraId="4CB25504" w14:textId="77777777" w:rsidR="005A7631" w:rsidRDefault="005A7631" w:rsidP="00137C0D">
            <w:pPr>
              <w:jc w:val="center"/>
              <w:rPr>
                <w:b/>
                <w:bCs/>
              </w:rPr>
            </w:pPr>
            <w:r w:rsidRPr="14E563C6">
              <w:rPr>
                <w:b/>
                <w:bCs/>
              </w:rPr>
              <w:t>2019</w:t>
            </w:r>
          </w:p>
        </w:tc>
      </w:tr>
      <w:tr w:rsidR="005A7631" w14:paraId="0592D3BD" w14:textId="77777777" w:rsidTr="00344E90">
        <w:trPr>
          <w:jc w:val="center"/>
        </w:trPr>
        <w:tc>
          <w:tcPr>
            <w:tcW w:w="989" w:type="dxa"/>
          </w:tcPr>
          <w:p w14:paraId="3914DB74" w14:textId="0825AA61" w:rsidR="005A7631" w:rsidRDefault="005A7631" w:rsidP="005A7631">
            <w:r>
              <w:t xml:space="preserve">Target </w:t>
            </w:r>
            <w:r>
              <w:rPr>
                <w:rFonts w:cstheme="minorHAnsi"/>
              </w:rPr>
              <w:t>≤</w:t>
            </w:r>
          </w:p>
        </w:tc>
        <w:tc>
          <w:tcPr>
            <w:tcW w:w="989" w:type="dxa"/>
          </w:tcPr>
          <w:p w14:paraId="7033CDF9" w14:textId="77777777" w:rsidR="005A7631" w:rsidRPr="00373050" w:rsidRDefault="005A7631" w:rsidP="005A7631">
            <w:pPr>
              <w:jc w:val="center"/>
              <w:rPr>
                <w:i/>
              </w:rPr>
            </w:pPr>
            <w:r w:rsidRPr="00373050">
              <w:rPr>
                <w:i/>
              </w:rPr>
              <w:t>Baseline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71CBB0" w14:textId="2D5498D5" w:rsidR="005A7631" w:rsidRPr="00DE49CF" w:rsidRDefault="005A7631" w:rsidP="005A7631">
            <w:pPr>
              <w:jc w:val="center"/>
            </w:pPr>
            <w:r w:rsidRPr="00DE49CF">
              <w:t>7.20%</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3E9FC6BA" w14:textId="2177F547" w:rsidR="005A7631" w:rsidRPr="00DE49CF" w:rsidRDefault="005A7631" w:rsidP="005A7631">
            <w:pPr>
              <w:jc w:val="center"/>
            </w:pPr>
            <w:r w:rsidRPr="00DE49CF">
              <w:t>6.70%</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1297925C" w14:textId="12096CBA" w:rsidR="005A7631" w:rsidRDefault="005A7631" w:rsidP="005A7631">
            <w:pPr>
              <w:jc w:val="center"/>
            </w:pPr>
            <w:r w:rsidRPr="00DE73B3">
              <w:t>68.65%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D67D28" w14:textId="0E9CDD70" w:rsidR="005A7631" w:rsidRDefault="005A7631" w:rsidP="005A7631">
            <w:pPr>
              <w:jc w:val="center"/>
            </w:pPr>
            <w:r w:rsidRPr="00DE73B3">
              <w:t>68.15%</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E8C480A" w14:textId="32E7B834" w:rsidR="005A7631" w:rsidRDefault="005A7631" w:rsidP="005A7631">
            <w:pPr>
              <w:jc w:val="center"/>
            </w:pPr>
            <w:r w:rsidRPr="00DE73B3">
              <w:t>67.65%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B47FAC" w14:textId="23C29C89" w:rsidR="005A7631" w:rsidRDefault="005A7631" w:rsidP="005A7631">
            <w:pPr>
              <w:jc w:val="center"/>
            </w:pPr>
            <w:r>
              <w:t>62.00%</w:t>
            </w:r>
          </w:p>
        </w:tc>
      </w:tr>
      <w:tr w:rsidR="005A7631" w14:paraId="3C801418" w14:textId="77777777" w:rsidTr="00344E90">
        <w:trPr>
          <w:jc w:val="center"/>
        </w:trPr>
        <w:tc>
          <w:tcPr>
            <w:tcW w:w="989" w:type="dxa"/>
          </w:tcPr>
          <w:p w14:paraId="6CD19CA6" w14:textId="77777777" w:rsidR="005A7631" w:rsidRDefault="005A7631" w:rsidP="005A7631">
            <w:r>
              <w:t>Data</w:t>
            </w:r>
          </w:p>
        </w:tc>
        <w:tc>
          <w:tcPr>
            <w:tcW w:w="989" w:type="dxa"/>
          </w:tcPr>
          <w:p w14:paraId="407385D7" w14:textId="66CEF3D9" w:rsidR="005A7631" w:rsidRDefault="005A7631" w:rsidP="005A7631">
            <w:pPr>
              <w:jc w:val="center"/>
            </w:pPr>
            <w:r>
              <w:t>62.96%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E2548F" w14:textId="7E92644D" w:rsidR="005A7631" w:rsidRPr="00DE49CF" w:rsidRDefault="005A7631" w:rsidP="005A7631">
            <w:pPr>
              <w:jc w:val="center"/>
            </w:pPr>
            <w:r w:rsidRPr="00DE49CF">
              <w:t>13.71%</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47D2C86B" w14:textId="511ECDC4" w:rsidR="005A7631" w:rsidRPr="00DE49CF" w:rsidRDefault="005A7631" w:rsidP="005A7631">
            <w:pPr>
              <w:jc w:val="center"/>
            </w:pPr>
            <w:r w:rsidRPr="00DE49CF">
              <w:t>8.63%</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7C5F7BDF" w14:textId="25C8B258" w:rsidR="005A7631" w:rsidRDefault="005A7631" w:rsidP="005A7631">
            <w:pPr>
              <w:jc w:val="center"/>
            </w:pPr>
            <w:r w:rsidRPr="00DE73B3">
              <w:t>62.96%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201364" w14:textId="1F6EA127" w:rsidR="005A7631" w:rsidRDefault="005A7631" w:rsidP="005A7631">
            <w:pPr>
              <w:jc w:val="center"/>
            </w:pPr>
            <w:r w:rsidRPr="00DE73B3">
              <w:t>66.67%</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794ED6C" w14:textId="72291E12" w:rsidR="005A7631" w:rsidRDefault="005A7631" w:rsidP="005A7631">
            <w:pPr>
              <w:jc w:val="center"/>
            </w:pPr>
            <w:r w:rsidRPr="00DE73B3">
              <w:t>53.13%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51915" w14:textId="093AEA0A" w:rsidR="005A7631" w:rsidRDefault="005A7631" w:rsidP="005A7631">
            <w:pPr>
              <w:jc w:val="center"/>
            </w:pPr>
            <w:r>
              <w:t>67.74%</w:t>
            </w:r>
          </w:p>
        </w:tc>
      </w:tr>
    </w:tbl>
    <w:p w14:paraId="57E819B6" w14:textId="01C032CB" w:rsidR="4BBB7754" w:rsidRPr="004F6C8F" w:rsidRDefault="4BBB7754" w:rsidP="11458547">
      <w:pPr>
        <w:pStyle w:val="Heading1"/>
        <w:rPr>
          <w:rFonts w:ascii="Calibri" w:eastAsia="Calibri" w:hAnsi="Calibri" w:cs="Calibri"/>
          <w:color w:val="1B75BC"/>
        </w:rPr>
      </w:pPr>
      <w:r w:rsidRPr="004F6C8F">
        <w:rPr>
          <w:rFonts w:ascii="Calibri" w:eastAsia="Calibri" w:hAnsi="Calibri" w:cs="Calibri"/>
          <w:b/>
          <w:bCs/>
          <w:color w:val="1B75BC"/>
        </w:rPr>
        <w:t>What are the new targets?</w:t>
      </w:r>
    </w:p>
    <w:p w14:paraId="22ADC927" w14:textId="32B5F5D1" w:rsidR="4BBB7754" w:rsidRPr="00F84723" w:rsidRDefault="4BBB7754" w:rsidP="00F14F43">
      <w:pPr>
        <w:spacing w:after="0"/>
        <w:rPr>
          <w:rFonts w:ascii="Calibri" w:eastAsia="Calibri" w:hAnsi="Calibri" w:cs="Calibri"/>
          <w:color w:val="000000" w:themeColor="text1"/>
        </w:rPr>
      </w:pPr>
      <w:r w:rsidRPr="25EDCB23">
        <w:rPr>
          <w:rFonts w:ascii="Calibri" w:eastAsia="Calibri" w:hAnsi="Calibri" w:cs="Calibri"/>
          <w:color w:val="000000" w:themeColor="text1"/>
        </w:rPr>
        <w:t xml:space="preserve">The ODE will not set new targets until we hear from our partners. There are several ways to set new targets. It could be a percentage </w:t>
      </w:r>
      <w:r w:rsidR="2B71373A" w:rsidRPr="25EDCB23">
        <w:rPr>
          <w:rFonts w:ascii="Calibri" w:eastAsia="Calibri" w:hAnsi="Calibri" w:cs="Calibri"/>
          <w:color w:val="000000" w:themeColor="text1"/>
        </w:rPr>
        <w:t>de</w:t>
      </w:r>
      <w:r w:rsidRPr="25EDCB23">
        <w:rPr>
          <w:rFonts w:ascii="Calibri" w:eastAsia="Calibri" w:hAnsi="Calibri" w:cs="Calibri"/>
          <w:color w:val="000000" w:themeColor="text1"/>
        </w:rPr>
        <w:t>crease, start with the end game in mind, or examine trends over time and make predictions based on trends. Some helpful information about setting targets:</w:t>
      </w:r>
    </w:p>
    <w:p w14:paraId="4551AD98" w14:textId="77777777" w:rsidR="001D55B0" w:rsidRPr="00F84723" w:rsidRDefault="001D55B0" w:rsidP="001D55B0">
      <w:pPr>
        <w:pStyle w:val="ListParagraph"/>
        <w:numPr>
          <w:ilvl w:val="0"/>
          <w:numId w:val="1"/>
        </w:numPr>
        <w:rPr>
          <w:rFonts w:ascii="Calibri" w:eastAsia="Calibri" w:hAnsi="Calibri" w:cs="Calibri"/>
          <w:color w:val="000000" w:themeColor="text1"/>
        </w:rPr>
      </w:pPr>
      <w:r w:rsidRPr="00F84723">
        <w:rPr>
          <w:rFonts w:ascii="Calibri" w:eastAsia="Calibri" w:hAnsi="Calibri" w:cs="Calibri"/>
          <w:color w:val="000000" w:themeColor="text1"/>
        </w:rPr>
        <w:t xml:space="preserve">Targets are meant to support improved results and outcomes for children and families. They should be within reach but still show growth. </w:t>
      </w:r>
    </w:p>
    <w:p w14:paraId="1E4FA14B" w14:textId="640BD67D" w:rsidR="4BBB7754" w:rsidRPr="00F84723" w:rsidRDefault="001D55B0" w:rsidP="001D55B0">
      <w:pPr>
        <w:pStyle w:val="ListParagraph"/>
        <w:numPr>
          <w:ilvl w:val="0"/>
          <w:numId w:val="1"/>
        </w:numPr>
        <w:rPr>
          <w:rFonts w:ascii="Calibri" w:eastAsia="Calibri" w:hAnsi="Calibri" w:cs="Calibri"/>
          <w:color w:val="000000" w:themeColor="text1"/>
        </w:rPr>
      </w:pPr>
      <w:r w:rsidRPr="25EDCB23">
        <w:rPr>
          <w:rFonts w:ascii="Calibri" w:eastAsia="Calibri" w:hAnsi="Calibri" w:cs="Calibri"/>
          <w:color w:val="000000" w:themeColor="text1"/>
        </w:rPr>
        <w:t xml:space="preserve">Change takes time. Targets can be created with this understanding in mind. For example, targets may stay the same for several years in a row, and then </w:t>
      </w:r>
      <w:r w:rsidR="4F3BF885" w:rsidRPr="25EDCB23">
        <w:rPr>
          <w:rFonts w:ascii="Calibri" w:eastAsia="Calibri" w:hAnsi="Calibri" w:cs="Calibri"/>
          <w:color w:val="000000" w:themeColor="text1"/>
        </w:rPr>
        <w:t>de</w:t>
      </w:r>
      <w:r w:rsidRPr="25EDCB23">
        <w:rPr>
          <w:rFonts w:ascii="Calibri" w:eastAsia="Calibri" w:hAnsi="Calibri" w:cs="Calibri"/>
          <w:color w:val="000000" w:themeColor="text1"/>
        </w:rPr>
        <w:t xml:space="preserve">crease slightly during the final target year (FFY 2025). Alternatively, targets could show a slight </w:t>
      </w:r>
      <w:r w:rsidR="5CBBFCC9" w:rsidRPr="25EDCB23">
        <w:rPr>
          <w:rFonts w:ascii="Calibri" w:eastAsia="Calibri" w:hAnsi="Calibri" w:cs="Calibri"/>
          <w:color w:val="000000" w:themeColor="text1"/>
        </w:rPr>
        <w:t>de</w:t>
      </w:r>
      <w:r w:rsidRPr="25EDCB23">
        <w:rPr>
          <w:rFonts w:ascii="Calibri" w:eastAsia="Calibri" w:hAnsi="Calibri" w:cs="Calibri"/>
          <w:color w:val="000000" w:themeColor="text1"/>
        </w:rPr>
        <w:t>crease each year.</w:t>
      </w:r>
    </w:p>
    <w:p w14:paraId="477534C5" w14:textId="1B5E3036" w:rsidR="547E444A" w:rsidRPr="00F84723" w:rsidRDefault="547E444A" w:rsidP="00BC1904">
      <w:pPr>
        <w:pStyle w:val="ListParagraph"/>
        <w:numPr>
          <w:ilvl w:val="0"/>
          <w:numId w:val="1"/>
        </w:numPr>
        <w:spacing w:after="120"/>
        <w:rPr>
          <w:color w:val="000000" w:themeColor="text1"/>
        </w:rPr>
      </w:pPr>
      <w:r w:rsidRPr="00F84723">
        <w:rPr>
          <w:rFonts w:ascii="Calibri" w:eastAsia="Calibri" w:hAnsi="Calibri" w:cs="Calibri"/>
          <w:b/>
          <w:bCs/>
          <w:i/>
          <w:iCs/>
        </w:rPr>
        <w:t xml:space="preserve">FFY 2020 and </w:t>
      </w:r>
      <w:r w:rsidR="001D55B0" w:rsidRPr="00F84723">
        <w:rPr>
          <w:rFonts w:ascii="Calibri" w:eastAsia="Calibri" w:hAnsi="Calibri" w:cs="Calibri"/>
          <w:b/>
          <w:bCs/>
          <w:i/>
          <w:iCs/>
        </w:rPr>
        <w:t xml:space="preserve">FFY </w:t>
      </w:r>
      <w:r w:rsidRPr="00F84723">
        <w:rPr>
          <w:rFonts w:ascii="Calibri" w:eastAsia="Calibri" w:hAnsi="Calibri" w:cs="Calibri"/>
          <w:b/>
          <w:bCs/>
          <w:i/>
          <w:iCs/>
        </w:rPr>
        <w:t>2021 discipline data is impacted by</w:t>
      </w:r>
      <w:r w:rsidR="001D55B0" w:rsidRPr="00F84723">
        <w:rPr>
          <w:rFonts w:ascii="Calibri" w:eastAsia="Calibri" w:hAnsi="Calibri" w:cs="Calibri"/>
          <w:b/>
          <w:bCs/>
          <w:i/>
          <w:iCs/>
        </w:rPr>
        <w:t xml:space="preserve"> COVID-</w:t>
      </w:r>
      <w:r w:rsidRPr="00F84723">
        <w:rPr>
          <w:rFonts w:ascii="Calibri" w:eastAsia="Calibri" w:hAnsi="Calibri" w:cs="Calibri"/>
          <w:b/>
          <w:bCs/>
          <w:i/>
          <w:iCs/>
        </w:rPr>
        <w:t>19.</w:t>
      </w:r>
    </w:p>
    <w:p w14:paraId="08B9EDF3" w14:textId="099234F4" w:rsidR="4BBB7754" w:rsidRDefault="4BBB7754" w:rsidP="00BC1904">
      <w:pPr>
        <w:spacing w:after="120"/>
        <w:rPr>
          <w:rFonts w:ascii="Calibri" w:eastAsia="Calibri" w:hAnsi="Calibri" w:cs="Calibri"/>
          <w:color w:val="408740"/>
          <w:sz w:val="24"/>
          <w:szCs w:val="24"/>
        </w:rPr>
      </w:pPr>
      <w:r w:rsidRPr="1B7C5E0B">
        <w:rPr>
          <w:rFonts w:ascii="Calibri" w:eastAsia="Calibri" w:hAnsi="Calibri" w:cs="Calibri"/>
          <w:b/>
          <w:bCs/>
          <w:color w:val="408740"/>
          <w:sz w:val="24"/>
          <w:szCs w:val="24"/>
        </w:rPr>
        <w:t>Example A</w:t>
      </w:r>
      <w:r w:rsidR="275154E9" w:rsidRPr="1B7C5E0B">
        <w:rPr>
          <w:rFonts w:ascii="Calibri" w:eastAsia="Calibri" w:hAnsi="Calibri" w:cs="Calibri"/>
          <w:b/>
          <w:bCs/>
          <w:color w:val="408740"/>
          <w:sz w:val="24"/>
          <w:szCs w:val="24"/>
        </w:rPr>
        <w:t xml:space="preserve"> for B4</w:t>
      </w:r>
      <w:r w:rsidR="001D55B0">
        <w:rPr>
          <w:rFonts w:ascii="Calibri" w:eastAsia="Calibri" w:hAnsi="Calibri" w:cs="Calibri"/>
          <w:b/>
          <w:bCs/>
          <w:color w:val="408740"/>
          <w:sz w:val="24"/>
          <w:szCs w:val="24"/>
        </w:rPr>
        <w:t>A</w:t>
      </w:r>
      <w:r w:rsidR="275154E9" w:rsidRPr="1B7C5E0B">
        <w:rPr>
          <w:rFonts w:ascii="Calibri" w:eastAsia="Calibri" w:hAnsi="Calibri" w:cs="Calibri"/>
          <w:b/>
          <w:bCs/>
          <w:color w:val="408740"/>
          <w:sz w:val="24"/>
          <w:szCs w:val="24"/>
        </w:rPr>
        <w:t xml:space="preserve"> Targets:</w:t>
      </w:r>
      <w:r w:rsidR="3A6FAE9D" w:rsidRPr="1B7C5E0B">
        <w:rPr>
          <w:rFonts w:ascii="Calibri" w:eastAsia="Calibri" w:hAnsi="Calibri" w:cs="Calibri"/>
          <w:b/>
          <w:bCs/>
          <w:color w:val="408740"/>
          <w:sz w:val="24"/>
          <w:szCs w:val="24"/>
        </w:rPr>
        <w:t xml:space="preserve"> Baseline Year 2019 with a target of 62% </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5D98BE62" w14:textId="77777777" w:rsidTr="003554B6">
        <w:trPr>
          <w:tblHeader/>
        </w:trPr>
        <w:tc>
          <w:tcPr>
            <w:tcW w:w="2220" w:type="dxa"/>
          </w:tcPr>
          <w:p w14:paraId="761F74D5" w14:textId="23EBD31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FFY</w:t>
            </w:r>
          </w:p>
        </w:tc>
        <w:tc>
          <w:tcPr>
            <w:tcW w:w="1275" w:type="dxa"/>
          </w:tcPr>
          <w:p w14:paraId="6FF289AD" w14:textId="064B2D84" w:rsidR="11458547" w:rsidRDefault="6A5506BC" w:rsidP="1B7C5E0B">
            <w:pPr>
              <w:spacing w:line="259" w:lineRule="auto"/>
              <w:jc w:val="center"/>
              <w:rPr>
                <w:rFonts w:ascii="Calibri" w:eastAsia="Calibri" w:hAnsi="Calibri" w:cs="Calibri"/>
              </w:rPr>
            </w:pPr>
            <w:r w:rsidRPr="1B7C5E0B">
              <w:rPr>
                <w:rFonts w:ascii="Calibri" w:eastAsia="Calibri" w:hAnsi="Calibri" w:cs="Calibri"/>
                <w:b/>
                <w:bCs/>
              </w:rPr>
              <w:t>2020</w:t>
            </w:r>
          </w:p>
        </w:tc>
        <w:tc>
          <w:tcPr>
            <w:tcW w:w="1275" w:type="dxa"/>
          </w:tcPr>
          <w:p w14:paraId="5F13C07F" w14:textId="224FB439" w:rsidR="11458547" w:rsidRDefault="6A5506BC" w:rsidP="1B7C5E0B">
            <w:pPr>
              <w:spacing w:line="259" w:lineRule="auto"/>
              <w:jc w:val="center"/>
              <w:rPr>
                <w:rFonts w:ascii="Calibri" w:eastAsia="Calibri" w:hAnsi="Calibri" w:cs="Calibri"/>
              </w:rPr>
            </w:pPr>
            <w:r w:rsidRPr="1B7C5E0B">
              <w:rPr>
                <w:rFonts w:ascii="Calibri" w:eastAsia="Calibri" w:hAnsi="Calibri" w:cs="Calibri"/>
                <w:b/>
                <w:bCs/>
              </w:rPr>
              <w:t>2021</w:t>
            </w:r>
          </w:p>
        </w:tc>
        <w:tc>
          <w:tcPr>
            <w:tcW w:w="1275" w:type="dxa"/>
          </w:tcPr>
          <w:p w14:paraId="4C2A8153" w14:textId="1DBED9FF"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2022</w:t>
            </w:r>
          </w:p>
        </w:tc>
        <w:tc>
          <w:tcPr>
            <w:tcW w:w="1275" w:type="dxa"/>
          </w:tcPr>
          <w:p w14:paraId="06D8CCF0" w14:textId="49AB478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2023</w:t>
            </w:r>
          </w:p>
        </w:tc>
        <w:tc>
          <w:tcPr>
            <w:tcW w:w="1275" w:type="dxa"/>
          </w:tcPr>
          <w:p w14:paraId="21F7EA2C" w14:textId="2DF08A33"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2024</w:t>
            </w:r>
          </w:p>
        </w:tc>
        <w:tc>
          <w:tcPr>
            <w:tcW w:w="1275" w:type="dxa"/>
          </w:tcPr>
          <w:p w14:paraId="149E4E9B" w14:textId="51328839"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2025</w:t>
            </w:r>
          </w:p>
        </w:tc>
      </w:tr>
      <w:tr w:rsidR="11458547" w14:paraId="6AF5CF9A" w14:textId="77777777" w:rsidTr="00BB6EA2">
        <w:trPr>
          <w:trHeight w:val="107"/>
        </w:trPr>
        <w:tc>
          <w:tcPr>
            <w:tcW w:w="2220" w:type="dxa"/>
          </w:tcPr>
          <w:p w14:paraId="069109CF" w14:textId="3A51A624" w:rsidR="439FDF39" w:rsidRDefault="439FDF39" w:rsidP="00300D8D">
            <w:pPr>
              <w:spacing w:line="259" w:lineRule="auto"/>
              <w:rPr>
                <w:rFonts w:ascii="Calibri" w:eastAsia="Calibri" w:hAnsi="Calibri" w:cs="Calibri"/>
              </w:rPr>
            </w:pPr>
            <w:r w:rsidRPr="11458547">
              <w:rPr>
                <w:rFonts w:ascii="Calibri" w:eastAsia="Calibri" w:hAnsi="Calibri" w:cs="Calibri"/>
              </w:rPr>
              <w:t xml:space="preserve">4A </w:t>
            </w:r>
            <w:r w:rsidR="11458547" w:rsidRPr="11458547">
              <w:rPr>
                <w:rFonts w:ascii="Calibri" w:eastAsia="Calibri" w:hAnsi="Calibri" w:cs="Calibri"/>
              </w:rPr>
              <w:t xml:space="preserve">Targets </w:t>
            </w:r>
            <w:r w:rsidR="00300D8D">
              <w:rPr>
                <w:rFonts w:ascii="Calibri" w:eastAsia="Calibri" w:hAnsi="Calibri" w:cs="Calibri"/>
              </w:rPr>
              <w:t>≤</w:t>
            </w:r>
          </w:p>
        </w:tc>
        <w:tc>
          <w:tcPr>
            <w:tcW w:w="1275" w:type="dxa"/>
          </w:tcPr>
          <w:p w14:paraId="0DC7BE9E" w14:textId="70593578" w:rsidR="11458547" w:rsidRDefault="06953851" w:rsidP="1B7C5E0B">
            <w:pPr>
              <w:spacing w:line="259" w:lineRule="auto"/>
              <w:jc w:val="center"/>
              <w:rPr>
                <w:rFonts w:ascii="Calibri" w:eastAsia="Calibri" w:hAnsi="Calibri" w:cs="Calibri"/>
              </w:rPr>
            </w:pPr>
            <w:r w:rsidRPr="1B7C5E0B">
              <w:rPr>
                <w:rFonts w:ascii="Calibri" w:eastAsia="Calibri" w:hAnsi="Calibri" w:cs="Calibri"/>
              </w:rPr>
              <w:t>62</w:t>
            </w:r>
            <w:r w:rsidR="00F14F43">
              <w:rPr>
                <w:rFonts w:ascii="Calibri" w:eastAsia="Calibri" w:hAnsi="Calibri" w:cs="Calibri"/>
              </w:rPr>
              <w:t>.00</w:t>
            </w:r>
            <w:r w:rsidRPr="1B7C5E0B">
              <w:rPr>
                <w:rFonts w:ascii="Calibri" w:eastAsia="Calibri" w:hAnsi="Calibri" w:cs="Calibri"/>
              </w:rPr>
              <w:t>%</w:t>
            </w:r>
          </w:p>
        </w:tc>
        <w:tc>
          <w:tcPr>
            <w:tcW w:w="1275" w:type="dxa"/>
          </w:tcPr>
          <w:p w14:paraId="0F18F025" w14:textId="3F02F31B" w:rsidR="11458547" w:rsidRDefault="06953851" w:rsidP="1B7C5E0B">
            <w:pPr>
              <w:spacing w:line="259" w:lineRule="auto"/>
              <w:jc w:val="center"/>
              <w:rPr>
                <w:rFonts w:ascii="Calibri" w:eastAsia="Calibri" w:hAnsi="Calibri" w:cs="Calibri"/>
              </w:rPr>
            </w:pPr>
            <w:r w:rsidRPr="1B7C5E0B">
              <w:rPr>
                <w:rFonts w:ascii="Calibri" w:eastAsia="Calibri" w:hAnsi="Calibri" w:cs="Calibri"/>
              </w:rPr>
              <w:t>62</w:t>
            </w:r>
            <w:r w:rsidR="00F14F43">
              <w:rPr>
                <w:rFonts w:ascii="Calibri" w:eastAsia="Calibri" w:hAnsi="Calibri" w:cs="Calibri"/>
              </w:rPr>
              <w:t>.00</w:t>
            </w:r>
            <w:r w:rsidRPr="1B7C5E0B">
              <w:rPr>
                <w:rFonts w:ascii="Calibri" w:eastAsia="Calibri" w:hAnsi="Calibri" w:cs="Calibri"/>
              </w:rPr>
              <w:t>%</w:t>
            </w:r>
          </w:p>
        </w:tc>
        <w:tc>
          <w:tcPr>
            <w:tcW w:w="1275" w:type="dxa"/>
          </w:tcPr>
          <w:p w14:paraId="201861D7" w14:textId="0FE27410" w:rsidR="11458547" w:rsidRDefault="06953851" w:rsidP="1B7C5E0B">
            <w:pPr>
              <w:spacing w:line="259" w:lineRule="auto"/>
              <w:jc w:val="center"/>
              <w:rPr>
                <w:rFonts w:ascii="Calibri" w:eastAsia="Calibri" w:hAnsi="Calibri" w:cs="Calibri"/>
              </w:rPr>
            </w:pPr>
            <w:r w:rsidRPr="1B7C5E0B">
              <w:rPr>
                <w:rFonts w:ascii="Calibri" w:eastAsia="Calibri" w:hAnsi="Calibri" w:cs="Calibri"/>
              </w:rPr>
              <w:t>61.75%</w:t>
            </w:r>
          </w:p>
        </w:tc>
        <w:tc>
          <w:tcPr>
            <w:tcW w:w="1275" w:type="dxa"/>
          </w:tcPr>
          <w:p w14:paraId="75B0C0F7" w14:textId="6256E394" w:rsidR="11458547" w:rsidRDefault="06953851" w:rsidP="00BB6EA2">
            <w:pPr>
              <w:spacing w:line="259" w:lineRule="auto"/>
              <w:jc w:val="center"/>
              <w:rPr>
                <w:rFonts w:ascii="Calibri" w:eastAsia="Calibri" w:hAnsi="Calibri" w:cs="Calibri"/>
              </w:rPr>
            </w:pPr>
            <w:r w:rsidRPr="1B7C5E0B">
              <w:rPr>
                <w:rFonts w:ascii="Calibri" w:eastAsia="Calibri" w:hAnsi="Calibri" w:cs="Calibri"/>
              </w:rPr>
              <w:t>61.50%</w:t>
            </w:r>
          </w:p>
        </w:tc>
        <w:tc>
          <w:tcPr>
            <w:tcW w:w="1275" w:type="dxa"/>
          </w:tcPr>
          <w:p w14:paraId="5D752F71" w14:textId="6F93A730" w:rsidR="11458547" w:rsidRDefault="06953851" w:rsidP="00BB6EA2">
            <w:pPr>
              <w:spacing w:line="259" w:lineRule="auto"/>
              <w:jc w:val="center"/>
              <w:rPr>
                <w:rFonts w:ascii="Calibri" w:eastAsia="Calibri" w:hAnsi="Calibri" w:cs="Calibri"/>
              </w:rPr>
            </w:pPr>
            <w:r w:rsidRPr="1B7C5E0B">
              <w:rPr>
                <w:rFonts w:ascii="Calibri" w:eastAsia="Calibri" w:hAnsi="Calibri" w:cs="Calibri"/>
              </w:rPr>
              <w:t>61.25%</w:t>
            </w:r>
          </w:p>
        </w:tc>
        <w:tc>
          <w:tcPr>
            <w:tcW w:w="1275" w:type="dxa"/>
          </w:tcPr>
          <w:p w14:paraId="29839416" w14:textId="66DE3A84" w:rsidR="11458547" w:rsidRDefault="06953851" w:rsidP="1B7C5E0B">
            <w:pPr>
              <w:spacing w:line="259" w:lineRule="auto"/>
              <w:jc w:val="center"/>
              <w:rPr>
                <w:rFonts w:ascii="Calibri" w:eastAsia="Calibri" w:hAnsi="Calibri" w:cs="Calibri"/>
              </w:rPr>
            </w:pPr>
            <w:r w:rsidRPr="1B7C5E0B">
              <w:rPr>
                <w:rFonts w:ascii="Calibri" w:eastAsia="Calibri" w:hAnsi="Calibri" w:cs="Calibri"/>
              </w:rPr>
              <w:t>61</w:t>
            </w:r>
            <w:r w:rsidR="00F14F43">
              <w:rPr>
                <w:rFonts w:ascii="Calibri" w:eastAsia="Calibri" w:hAnsi="Calibri" w:cs="Calibri"/>
              </w:rPr>
              <w:t>.00</w:t>
            </w:r>
            <w:r w:rsidRPr="1B7C5E0B">
              <w:rPr>
                <w:rFonts w:ascii="Calibri" w:eastAsia="Calibri" w:hAnsi="Calibri" w:cs="Calibri"/>
              </w:rPr>
              <w:t>%</w:t>
            </w:r>
          </w:p>
        </w:tc>
      </w:tr>
    </w:tbl>
    <w:p w14:paraId="7C2E7CBC" w14:textId="4B65C366" w:rsidR="255201E7" w:rsidRDefault="255201E7" w:rsidP="00BC1904">
      <w:pPr>
        <w:spacing w:after="120"/>
        <w:rPr>
          <w:rFonts w:ascii="Calibri" w:eastAsia="Calibri" w:hAnsi="Calibri" w:cs="Calibri"/>
          <w:color w:val="000000" w:themeColor="text1"/>
        </w:rPr>
      </w:pPr>
      <w:r w:rsidRPr="11458547">
        <w:rPr>
          <w:rFonts w:ascii="Calibri" w:eastAsia="Calibri" w:hAnsi="Calibri" w:cs="Calibri"/>
          <w:color w:val="000000" w:themeColor="text1"/>
        </w:rPr>
        <w:t xml:space="preserve">Example A shows a gradual </w:t>
      </w:r>
      <w:r w:rsidR="00F14F43">
        <w:rPr>
          <w:rFonts w:ascii="Calibri" w:eastAsia="Calibri" w:hAnsi="Calibri" w:cs="Calibri"/>
          <w:color w:val="000000" w:themeColor="text1"/>
        </w:rPr>
        <w:t>improvement</w:t>
      </w:r>
      <w:r w:rsidRPr="11458547">
        <w:rPr>
          <w:rFonts w:ascii="Calibri" w:eastAsia="Calibri" w:hAnsi="Calibri" w:cs="Calibri"/>
          <w:color w:val="000000" w:themeColor="text1"/>
        </w:rPr>
        <w:t>.</w:t>
      </w:r>
    </w:p>
    <w:p w14:paraId="39B5FF48" w14:textId="4E940495" w:rsidR="255201E7" w:rsidRDefault="255201E7" w:rsidP="00BC1904">
      <w:pPr>
        <w:spacing w:after="120"/>
        <w:rPr>
          <w:rFonts w:ascii="Calibri" w:eastAsia="Calibri" w:hAnsi="Calibri" w:cs="Calibri"/>
          <w:color w:val="408740"/>
          <w:sz w:val="24"/>
          <w:szCs w:val="24"/>
        </w:rPr>
      </w:pPr>
      <w:r w:rsidRPr="1B7C5E0B">
        <w:rPr>
          <w:rFonts w:ascii="Calibri" w:eastAsia="Calibri" w:hAnsi="Calibri" w:cs="Calibri"/>
          <w:b/>
          <w:bCs/>
          <w:color w:val="408740"/>
          <w:sz w:val="24"/>
          <w:szCs w:val="24"/>
        </w:rPr>
        <w:t>Example B</w:t>
      </w:r>
      <w:r w:rsidR="234DB5E1" w:rsidRPr="1B7C5E0B">
        <w:rPr>
          <w:rFonts w:ascii="Calibri" w:eastAsia="Calibri" w:hAnsi="Calibri" w:cs="Calibri"/>
          <w:b/>
          <w:bCs/>
          <w:color w:val="408740"/>
          <w:sz w:val="24"/>
          <w:szCs w:val="24"/>
        </w:rPr>
        <w:t xml:space="preserve"> for B4</w:t>
      </w:r>
      <w:r w:rsidR="00BC1904">
        <w:rPr>
          <w:rFonts w:ascii="Calibri" w:eastAsia="Calibri" w:hAnsi="Calibri" w:cs="Calibri"/>
          <w:b/>
          <w:bCs/>
          <w:color w:val="408740"/>
          <w:sz w:val="24"/>
          <w:szCs w:val="24"/>
        </w:rPr>
        <w:t>A</w:t>
      </w:r>
      <w:r w:rsidR="234DB5E1" w:rsidRPr="1B7C5E0B">
        <w:rPr>
          <w:rFonts w:ascii="Calibri" w:eastAsia="Calibri" w:hAnsi="Calibri" w:cs="Calibri"/>
          <w:b/>
          <w:bCs/>
          <w:color w:val="408740"/>
          <w:sz w:val="24"/>
          <w:szCs w:val="24"/>
        </w:rPr>
        <w:t xml:space="preserve"> Targets:</w:t>
      </w:r>
      <w:r w:rsidR="48E7518B" w:rsidRPr="1B7C5E0B">
        <w:rPr>
          <w:rFonts w:ascii="Calibri" w:eastAsia="Calibri" w:hAnsi="Calibri" w:cs="Calibri"/>
          <w:b/>
          <w:bCs/>
          <w:color w:val="408740"/>
          <w:sz w:val="24"/>
          <w:szCs w:val="24"/>
        </w:rPr>
        <w:t xml:space="preserve"> Baseline Year 2019 with a target of 62%</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0FAC3656" w14:textId="77777777" w:rsidTr="003554B6">
        <w:trPr>
          <w:tblHeader/>
        </w:trPr>
        <w:tc>
          <w:tcPr>
            <w:tcW w:w="2220" w:type="dxa"/>
          </w:tcPr>
          <w:p w14:paraId="0F4C8285" w14:textId="6E1B46F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FFY</w:t>
            </w:r>
          </w:p>
        </w:tc>
        <w:tc>
          <w:tcPr>
            <w:tcW w:w="1275" w:type="dxa"/>
          </w:tcPr>
          <w:p w14:paraId="051D9902" w14:textId="04C3D9DF"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2020</w:t>
            </w:r>
          </w:p>
        </w:tc>
        <w:tc>
          <w:tcPr>
            <w:tcW w:w="1275" w:type="dxa"/>
          </w:tcPr>
          <w:p w14:paraId="2CAB0210" w14:textId="2CAE755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2021</w:t>
            </w:r>
          </w:p>
        </w:tc>
        <w:tc>
          <w:tcPr>
            <w:tcW w:w="1275" w:type="dxa"/>
          </w:tcPr>
          <w:p w14:paraId="041A0AB9" w14:textId="358BD01F"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2022</w:t>
            </w:r>
          </w:p>
        </w:tc>
        <w:tc>
          <w:tcPr>
            <w:tcW w:w="1275" w:type="dxa"/>
          </w:tcPr>
          <w:p w14:paraId="47295C0D" w14:textId="6165BA72"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2023</w:t>
            </w:r>
          </w:p>
        </w:tc>
        <w:tc>
          <w:tcPr>
            <w:tcW w:w="1275" w:type="dxa"/>
          </w:tcPr>
          <w:p w14:paraId="0186D260" w14:textId="4B386DA3"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2024</w:t>
            </w:r>
          </w:p>
        </w:tc>
        <w:tc>
          <w:tcPr>
            <w:tcW w:w="1275" w:type="dxa"/>
          </w:tcPr>
          <w:p w14:paraId="478A199B" w14:textId="048C9FA8" w:rsidR="11458547" w:rsidRDefault="11458547" w:rsidP="11458547">
            <w:pPr>
              <w:spacing w:line="259" w:lineRule="auto"/>
              <w:jc w:val="center"/>
              <w:rPr>
                <w:rFonts w:ascii="Calibri" w:eastAsia="Calibri" w:hAnsi="Calibri" w:cs="Calibri"/>
              </w:rPr>
            </w:pPr>
            <w:r w:rsidRPr="11458547">
              <w:rPr>
                <w:rFonts w:ascii="Calibri" w:eastAsia="Calibri" w:hAnsi="Calibri" w:cs="Calibri"/>
                <w:b/>
                <w:bCs/>
              </w:rPr>
              <w:t>2025</w:t>
            </w:r>
          </w:p>
        </w:tc>
      </w:tr>
      <w:tr w:rsidR="11458547" w14:paraId="631770DF" w14:textId="77777777" w:rsidTr="1B7C5E0B">
        <w:tc>
          <w:tcPr>
            <w:tcW w:w="2220" w:type="dxa"/>
          </w:tcPr>
          <w:p w14:paraId="39F47907" w14:textId="09D5DE17" w:rsidR="11458547" w:rsidRDefault="11458547" w:rsidP="00300D8D">
            <w:pPr>
              <w:spacing w:line="259" w:lineRule="auto"/>
              <w:rPr>
                <w:rFonts w:ascii="Calibri" w:eastAsia="Calibri" w:hAnsi="Calibri" w:cs="Calibri"/>
              </w:rPr>
            </w:pPr>
            <w:r w:rsidRPr="11458547">
              <w:rPr>
                <w:rFonts w:ascii="Calibri" w:eastAsia="Calibri" w:hAnsi="Calibri" w:cs="Calibri"/>
              </w:rPr>
              <w:t xml:space="preserve">4A Targets </w:t>
            </w:r>
            <w:r w:rsidR="00300D8D">
              <w:rPr>
                <w:rFonts w:ascii="Calibri" w:eastAsia="Calibri" w:hAnsi="Calibri" w:cs="Calibri"/>
              </w:rPr>
              <w:t>≤</w:t>
            </w:r>
          </w:p>
        </w:tc>
        <w:tc>
          <w:tcPr>
            <w:tcW w:w="1275" w:type="dxa"/>
          </w:tcPr>
          <w:p w14:paraId="1BE3574C" w14:textId="6396B2D1" w:rsidR="11458547" w:rsidRDefault="00BB6EA2" w:rsidP="1B7C5E0B">
            <w:pPr>
              <w:spacing w:line="259" w:lineRule="auto"/>
              <w:jc w:val="center"/>
              <w:rPr>
                <w:rFonts w:ascii="Calibri" w:eastAsia="Calibri" w:hAnsi="Calibri" w:cs="Calibri"/>
              </w:rPr>
            </w:pPr>
            <w:r>
              <w:rPr>
                <w:rFonts w:ascii="Calibri" w:eastAsia="Calibri" w:hAnsi="Calibri" w:cs="Calibri"/>
              </w:rPr>
              <w:t>62</w:t>
            </w:r>
            <w:r w:rsidR="00F14F43">
              <w:rPr>
                <w:rFonts w:ascii="Calibri" w:eastAsia="Calibri" w:hAnsi="Calibri" w:cs="Calibri"/>
              </w:rPr>
              <w:t>.00</w:t>
            </w:r>
            <w:r>
              <w:rPr>
                <w:rFonts w:ascii="Calibri" w:eastAsia="Calibri" w:hAnsi="Calibri" w:cs="Calibri"/>
              </w:rPr>
              <w:t>%</w:t>
            </w:r>
          </w:p>
        </w:tc>
        <w:tc>
          <w:tcPr>
            <w:tcW w:w="1275" w:type="dxa"/>
          </w:tcPr>
          <w:p w14:paraId="27B9FB50" w14:textId="6EA0F2D7" w:rsidR="11458547" w:rsidRDefault="00BB6EA2" w:rsidP="00BB6EA2">
            <w:pPr>
              <w:spacing w:line="259" w:lineRule="auto"/>
              <w:jc w:val="center"/>
              <w:rPr>
                <w:rFonts w:ascii="Calibri" w:eastAsia="Calibri" w:hAnsi="Calibri" w:cs="Calibri"/>
              </w:rPr>
            </w:pPr>
            <w:r>
              <w:rPr>
                <w:rFonts w:ascii="Calibri" w:eastAsia="Calibri" w:hAnsi="Calibri" w:cs="Calibri"/>
              </w:rPr>
              <w:t>62</w:t>
            </w:r>
            <w:r w:rsidR="00F14F43">
              <w:rPr>
                <w:rFonts w:ascii="Calibri" w:eastAsia="Calibri" w:hAnsi="Calibri" w:cs="Calibri"/>
              </w:rPr>
              <w:t>.00</w:t>
            </w:r>
            <w:r>
              <w:rPr>
                <w:rFonts w:ascii="Calibri" w:eastAsia="Calibri" w:hAnsi="Calibri" w:cs="Calibri"/>
              </w:rPr>
              <w:t>%</w:t>
            </w:r>
          </w:p>
        </w:tc>
        <w:tc>
          <w:tcPr>
            <w:tcW w:w="1275" w:type="dxa"/>
          </w:tcPr>
          <w:p w14:paraId="5E5CA2C5" w14:textId="1BEA0AFC" w:rsidR="11458547" w:rsidRDefault="00BB6EA2" w:rsidP="00BB6EA2">
            <w:pPr>
              <w:spacing w:line="259" w:lineRule="auto"/>
              <w:jc w:val="center"/>
              <w:rPr>
                <w:rFonts w:ascii="Calibri" w:eastAsia="Calibri" w:hAnsi="Calibri" w:cs="Calibri"/>
              </w:rPr>
            </w:pPr>
            <w:r>
              <w:rPr>
                <w:rFonts w:ascii="Calibri" w:eastAsia="Calibri" w:hAnsi="Calibri" w:cs="Calibri"/>
              </w:rPr>
              <w:t>61.5</w:t>
            </w:r>
            <w:r w:rsidR="00F14F43">
              <w:rPr>
                <w:rFonts w:ascii="Calibri" w:eastAsia="Calibri" w:hAnsi="Calibri" w:cs="Calibri"/>
              </w:rPr>
              <w:t>0</w:t>
            </w:r>
            <w:r>
              <w:rPr>
                <w:rFonts w:ascii="Calibri" w:eastAsia="Calibri" w:hAnsi="Calibri" w:cs="Calibri"/>
              </w:rPr>
              <w:t>%</w:t>
            </w:r>
          </w:p>
        </w:tc>
        <w:tc>
          <w:tcPr>
            <w:tcW w:w="1275" w:type="dxa"/>
          </w:tcPr>
          <w:p w14:paraId="39CD7664" w14:textId="7B358D02" w:rsidR="11458547" w:rsidRDefault="148FBD78" w:rsidP="1B7C5E0B">
            <w:pPr>
              <w:spacing w:line="259" w:lineRule="auto"/>
              <w:jc w:val="center"/>
              <w:rPr>
                <w:rFonts w:ascii="Calibri" w:eastAsia="Calibri" w:hAnsi="Calibri" w:cs="Calibri"/>
              </w:rPr>
            </w:pPr>
            <w:r w:rsidRPr="1B7C5E0B">
              <w:rPr>
                <w:rFonts w:ascii="Calibri" w:eastAsia="Calibri" w:hAnsi="Calibri" w:cs="Calibri"/>
              </w:rPr>
              <w:t>61.25%</w:t>
            </w:r>
          </w:p>
        </w:tc>
        <w:tc>
          <w:tcPr>
            <w:tcW w:w="1275" w:type="dxa"/>
          </w:tcPr>
          <w:p w14:paraId="4E98C006" w14:textId="06C47462" w:rsidR="11458547" w:rsidRDefault="148FBD78" w:rsidP="1B7C5E0B">
            <w:pPr>
              <w:spacing w:line="259" w:lineRule="auto"/>
              <w:jc w:val="center"/>
              <w:rPr>
                <w:rFonts w:ascii="Calibri" w:eastAsia="Calibri" w:hAnsi="Calibri" w:cs="Calibri"/>
              </w:rPr>
            </w:pPr>
            <w:r w:rsidRPr="1B7C5E0B">
              <w:rPr>
                <w:rFonts w:ascii="Calibri" w:eastAsia="Calibri" w:hAnsi="Calibri" w:cs="Calibri"/>
              </w:rPr>
              <w:t>61</w:t>
            </w:r>
            <w:r w:rsidR="00F14F43">
              <w:rPr>
                <w:rFonts w:ascii="Calibri" w:eastAsia="Calibri" w:hAnsi="Calibri" w:cs="Calibri"/>
              </w:rPr>
              <w:t>.00</w:t>
            </w:r>
            <w:r w:rsidRPr="1B7C5E0B">
              <w:rPr>
                <w:rFonts w:ascii="Calibri" w:eastAsia="Calibri" w:hAnsi="Calibri" w:cs="Calibri"/>
              </w:rPr>
              <w:t>%</w:t>
            </w:r>
          </w:p>
        </w:tc>
        <w:tc>
          <w:tcPr>
            <w:tcW w:w="1275" w:type="dxa"/>
          </w:tcPr>
          <w:p w14:paraId="2900B4A7" w14:textId="13B9272D" w:rsidR="11458547" w:rsidRDefault="148FBD78" w:rsidP="1B7C5E0B">
            <w:pPr>
              <w:spacing w:line="259" w:lineRule="auto"/>
              <w:jc w:val="center"/>
              <w:rPr>
                <w:rFonts w:ascii="Calibri" w:eastAsia="Calibri" w:hAnsi="Calibri" w:cs="Calibri"/>
              </w:rPr>
            </w:pPr>
            <w:r w:rsidRPr="1B7C5E0B">
              <w:rPr>
                <w:rFonts w:ascii="Calibri" w:eastAsia="Calibri" w:hAnsi="Calibri" w:cs="Calibri"/>
              </w:rPr>
              <w:t>60.5</w:t>
            </w:r>
            <w:r w:rsidR="00F14F43">
              <w:rPr>
                <w:rFonts w:ascii="Calibri" w:eastAsia="Calibri" w:hAnsi="Calibri" w:cs="Calibri"/>
              </w:rPr>
              <w:t>0</w:t>
            </w:r>
            <w:r w:rsidRPr="1B7C5E0B">
              <w:rPr>
                <w:rFonts w:ascii="Calibri" w:eastAsia="Calibri" w:hAnsi="Calibri" w:cs="Calibri"/>
              </w:rPr>
              <w:t>%</w:t>
            </w:r>
          </w:p>
        </w:tc>
      </w:tr>
    </w:tbl>
    <w:p w14:paraId="5F35CFE9" w14:textId="4479FC23" w:rsidR="255201E7" w:rsidRPr="00F14F43" w:rsidRDefault="00BB6EA2" w:rsidP="00BC1904">
      <w:pPr>
        <w:spacing w:after="120"/>
        <w:rPr>
          <w:rFonts w:ascii="Calibri" w:eastAsia="Calibri" w:hAnsi="Calibri" w:cs="Calibri"/>
          <w:color w:val="000000" w:themeColor="text1"/>
        </w:rPr>
      </w:pPr>
      <w:r w:rsidRPr="00F14F43">
        <w:rPr>
          <w:rFonts w:ascii="Calibri" w:eastAsia="Calibri" w:hAnsi="Calibri" w:cs="Calibri"/>
          <w:color w:val="000000" w:themeColor="text1"/>
        </w:rPr>
        <w:t xml:space="preserve">Example B shows more </w:t>
      </w:r>
      <w:r w:rsidR="00F14F43" w:rsidRPr="00F14F43">
        <w:rPr>
          <w:rFonts w:ascii="Calibri" w:eastAsia="Calibri" w:hAnsi="Calibri" w:cs="Calibri"/>
          <w:color w:val="000000" w:themeColor="text1"/>
        </w:rPr>
        <w:t>improvement</w:t>
      </w:r>
      <w:r w:rsidRPr="00F14F43">
        <w:rPr>
          <w:rFonts w:ascii="Calibri" w:eastAsia="Calibri" w:hAnsi="Calibri" w:cs="Calibri"/>
          <w:color w:val="000000" w:themeColor="text1"/>
        </w:rPr>
        <w:t>.</w:t>
      </w:r>
    </w:p>
    <w:p w14:paraId="0DD861B0" w14:textId="60A93722" w:rsidR="134DEFB0" w:rsidRDefault="134DEFB0" w:rsidP="00863AC2">
      <w:pPr>
        <w:jc w:val="center"/>
        <w:rPr>
          <w:rFonts w:ascii="Calibri" w:eastAsia="Calibri" w:hAnsi="Calibri" w:cs="Calibri"/>
          <w:b/>
          <w:bCs/>
          <w:color w:val="000000" w:themeColor="text1"/>
        </w:rPr>
      </w:pPr>
      <w:r w:rsidRPr="1F7457EA">
        <w:rPr>
          <w:rFonts w:ascii="Calibri" w:eastAsia="Calibri" w:hAnsi="Calibri" w:cs="Calibri"/>
          <w:b/>
          <w:bCs/>
          <w:color w:val="538135" w:themeColor="accent6" w:themeShade="BF"/>
        </w:rPr>
        <w:t>If you need more information in order t</w:t>
      </w:r>
      <w:r w:rsidR="00863AC2">
        <w:rPr>
          <w:rFonts w:ascii="Calibri" w:eastAsia="Calibri" w:hAnsi="Calibri" w:cs="Calibri"/>
          <w:b/>
          <w:bCs/>
          <w:color w:val="538135" w:themeColor="accent6" w:themeShade="BF"/>
        </w:rPr>
        <w:t>o provide input, please contact:</w:t>
      </w:r>
      <w:r w:rsidR="00863AC2">
        <w:rPr>
          <w:rFonts w:ascii="Calibri" w:eastAsia="Calibri" w:hAnsi="Calibri" w:cs="Calibri"/>
          <w:b/>
          <w:bCs/>
          <w:color w:val="538135" w:themeColor="accent6" w:themeShade="BF"/>
        </w:rPr>
        <w:br/>
      </w:r>
      <w:r w:rsidRPr="1F7457EA">
        <w:rPr>
          <w:rFonts w:ascii="Calibri" w:eastAsia="Calibri" w:hAnsi="Calibri" w:cs="Calibri"/>
          <w:b/>
          <w:bCs/>
          <w:color w:val="538135" w:themeColor="accent6" w:themeShade="BF"/>
        </w:rPr>
        <w:t>Lisa Bateman, Education Specialist, at</w:t>
      </w:r>
      <w:r w:rsidR="00863AC2">
        <w:rPr>
          <w:rFonts w:ascii="Calibri" w:eastAsia="Calibri" w:hAnsi="Calibri" w:cs="Calibri"/>
          <w:b/>
          <w:bCs/>
          <w:color w:val="000000" w:themeColor="text1"/>
        </w:rPr>
        <w:t xml:space="preserve"> </w:t>
      </w:r>
      <w:r w:rsidRPr="1F7457EA">
        <w:rPr>
          <w:rStyle w:val="Hyperlink"/>
          <w:rFonts w:ascii="Calibri" w:eastAsia="Calibri" w:hAnsi="Calibri" w:cs="Calibri"/>
          <w:b/>
          <w:bCs/>
        </w:rPr>
        <w:t>lisa.bateman@state.or.us</w:t>
      </w:r>
      <w:r w:rsidRPr="1F7457EA">
        <w:rPr>
          <w:rFonts w:ascii="Calibri" w:eastAsia="Calibri" w:hAnsi="Calibri" w:cs="Calibri"/>
          <w:b/>
          <w:bCs/>
          <w:color w:val="000000" w:themeColor="text1"/>
        </w:rPr>
        <w:t>.</w:t>
      </w:r>
    </w:p>
    <w:sectPr w:rsidR="134DEFB0">
      <w:footerReference w:type="default" r:id="rId14"/>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C54C23B" w16cex:dateUtc="2021-10-22T21:27:57.772Z"/>
  <w16cex:commentExtensible w16cex:durableId="47EFBACE" w16cex:dateUtc="2021-10-27T22:42:28.867Z"/>
  <w16cex:commentExtensible w16cex:durableId="514AA64B" w16cex:dateUtc="2021-10-27T23:05:23.482Z"/>
  <w16cex:commentExtensible w16cex:durableId="5DA1DA20" w16cex:dateUtc="2021-10-27T23:12:29.758Z"/>
  <w16cex:commentExtensible w16cex:durableId="0809BADB" w16cex:dateUtc="2021-10-27T23:14:30.952Z"/>
  <w16cex:commentExtensible w16cex:durableId="35DC038D" w16cex:dateUtc="2021-10-28T14:40:17.032Z"/>
  <w16cex:commentExtensible w16cex:durableId="755C7E5E" w16cex:dateUtc="2021-10-28T17:18:29.949Z"/>
  <w16cex:commentExtensible w16cex:durableId="565C575A" w16cex:dateUtc="2021-10-28T19:10:12.661Z"/>
  <w16cex:commentExtensible w16cex:durableId="2A8EE975" w16cex:dateUtc="2021-10-28T19:32:42.363Z"/>
  <w16cex:commentExtensible w16cex:durableId="4CA68027" w16cex:dateUtc="2021-10-28T19:36:45.52Z"/>
  <w16cex:commentExtensible w16cex:durableId="76C903E6" w16cex:dateUtc="2021-10-28T19:38:09.594Z"/>
  <w16cex:commentExtensible w16cex:durableId="0E600804" w16cex:dateUtc="2021-10-28T19:38:44.087Z"/>
  <w16cex:commentExtensible w16cex:durableId="189B0EAC" w16cex:dateUtc="2021-10-28T19:39:48.667Z"/>
  <w16cex:commentExtensible w16cex:durableId="353F2969" w16cex:dateUtc="2021-10-28T19:45:08.592Z"/>
  <w16cex:commentExtensible w16cex:durableId="19BC0117" w16cex:dateUtc="2021-10-28T19:50:03.743Z"/>
  <w16cex:commentExtensible w16cex:durableId="419CD883" w16cex:dateUtc="2021-10-28T21:04:41.18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63147020" w16cid:durableId="2C54C23B"/>
  <w16cid:commentId w16cid:paraId="5A533345" w16cid:durableId="47EFBACE"/>
  <w16cid:commentId w16cid:paraId="676EC8C6" w16cid:durableId="514AA64B"/>
  <w16cid:commentId w16cid:paraId="0F1382A1" w16cid:durableId="5DA1DA20"/>
  <w16cid:commentId w16cid:paraId="4C4ED607" w16cid:durableId="0809BADB"/>
  <w16cid:commentId w16cid:paraId="62CF947E" w16cid:durableId="35DC038D"/>
  <w16cid:commentId w16cid:paraId="30518992" w16cid:durableId="755C7E5E"/>
  <w16cid:commentId w16cid:paraId="7D82625F" w16cid:durableId="565C575A"/>
  <w16cid:commentId w16cid:paraId="7A52A996" w16cid:durableId="2A8EE975"/>
  <w16cid:commentId w16cid:paraId="641DCB94" w16cid:durableId="4CA68027"/>
  <w16cid:commentId w16cid:paraId="13946A0C" w16cid:durableId="76C903E6"/>
  <w16cid:commentId w16cid:paraId="15214D45" w16cid:durableId="0E600804"/>
  <w16cid:commentId w16cid:paraId="396649E6" w16cid:durableId="189B0EAC"/>
  <w16cid:commentId w16cid:paraId="02762ED8" w16cid:durableId="353F2969"/>
  <w16cid:commentId w16cid:paraId="5267B635" w16cid:durableId="19BC0117"/>
  <w16cid:commentId w16cid:paraId="105E0DDF" w16cid:durableId="419CD8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4D70" w14:textId="02C9C705" w:rsidR="11458547" w:rsidRDefault="00BB6EA2" w:rsidP="11458547">
    <w:pPr>
      <w:pStyle w:val="Footer"/>
    </w:pPr>
    <w:r>
      <w:t>State Performance Plan Fact Sheet – Indicator B4A</w:t>
    </w:r>
    <w:r>
      <w:tab/>
    </w:r>
    <w:r>
      <w:tab/>
    </w:r>
    <w:r>
      <w:fldChar w:fldCharType="begin"/>
    </w:r>
    <w:r>
      <w:instrText xml:space="preserve"> PAGE   \* MERGEFORMAT </w:instrText>
    </w:r>
    <w:r>
      <w:fldChar w:fldCharType="separate"/>
    </w:r>
    <w:r w:rsidR="0089048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E6D79B9"/>
    <w:multiLevelType w:val="hybridMultilevel"/>
    <w:tmpl w:val="F0CEB0B4"/>
    <w:lvl w:ilvl="0" w:tplc="64A464E2">
      <w:start w:val="1"/>
      <w:numFmt w:val="bullet"/>
      <w:lvlText w:val=""/>
      <w:lvlJc w:val="left"/>
      <w:pPr>
        <w:ind w:left="720" w:hanging="360"/>
      </w:pPr>
      <w:rPr>
        <w:rFonts w:ascii="Symbol" w:hAnsi="Symbol" w:hint="default"/>
      </w:rPr>
    </w:lvl>
    <w:lvl w:ilvl="1" w:tplc="B31CE896">
      <w:start w:val="1"/>
      <w:numFmt w:val="bullet"/>
      <w:lvlText w:val="o"/>
      <w:lvlJc w:val="left"/>
      <w:pPr>
        <w:ind w:left="1440" w:hanging="360"/>
      </w:pPr>
      <w:rPr>
        <w:rFonts w:ascii="Courier New" w:hAnsi="Courier New" w:hint="default"/>
      </w:rPr>
    </w:lvl>
    <w:lvl w:ilvl="2" w:tplc="6ECAB0AC">
      <w:start w:val="1"/>
      <w:numFmt w:val="bullet"/>
      <w:lvlText w:val=""/>
      <w:lvlJc w:val="left"/>
      <w:pPr>
        <w:ind w:left="2160" w:hanging="360"/>
      </w:pPr>
      <w:rPr>
        <w:rFonts w:ascii="Wingdings" w:hAnsi="Wingdings" w:hint="default"/>
      </w:rPr>
    </w:lvl>
    <w:lvl w:ilvl="3" w:tplc="2E72509E">
      <w:start w:val="1"/>
      <w:numFmt w:val="bullet"/>
      <w:lvlText w:val=""/>
      <w:lvlJc w:val="left"/>
      <w:pPr>
        <w:ind w:left="2880" w:hanging="360"/>
      </w:pPr>
      <w:rPr>
        <w:rFonts w:ascii="Symbol" w:hAnsi="Symbol" w:hint="default"/>
      </w:rPr>
    </w:lvl>
    <w:lvl w:ilvl="4" w:tplc="456CA1DC">
      <w:start w:val="1"/>
      <w:numFmt w:val="bullet"/>
      <w:lvlText w:val="o"/>
      <w:lvlJc w:val="left"/>
      <w:pPr>
        <w:ind w:left="3600" w:hanging="360"/>
      </w:pPr>
      <w:rPr>
        <w:rFonts w:ascii="Courier New" w:hAnsi="Courier New" w:hint="default"/>
      </w:rPr>
    </w:lvl>
    <w:lvl w:ilvl="5" w:tplc="F59297F0">
      <w:start w:val="1"/>
      <w:numFmt w:val="bullet"/>
      <w:lvlText w:val=""/>
      <w:lvlJc w:val="left"/>
      <w:pPr>
        <w:ind w:left="4320" w:hanging="360"/>
      </w:pPr>
      <w:rPr>
        <w:rFonts w:ascii="Wingdings" w:hAnsi="Wingdings" w:hint="default"/>
      </w:rPr>
    </w:lvl>
    <w:lvl w:ilvl="6" w:tplc="61B6F44C">
      <w:start w:val="1"/>
      <w:numFmt w:val="bullet"/>
      <w:lvlText w:val=""/>
      <w:lvlJc w:val="left"/>
      <w:pPr>
        <w:ind w:left="5040" w:hanging="360"/>
      </w:pPr>
      <w:rPr>
        <w:rFonts w:ascii="Symbol" w:hAnsi="Symbol" w:hint="default"/>
      </w:rPr>
    </w:lvl>
    <w:lvl w:ilvl="7" w:tplc="8D9ACD00">
      <w:start w:val="1"/>
      <w:numFmt w:val="bullet"/>
      <w:lvlText w:val="o"/>
      <w:lvlJc w:val="left"/>
      <w:pPr>
        <w:ind w:left="5760" w:hanging="360"/>
      </w:pPr>
      <w:rPr>
        <w:rFonts w:ascii="Courier New" w:hAnsi="Courier New" w:hint="default"/>
      </w:rPr>
    </w:lvl>
    <w:lvl w:ilvl="8" w:tplc="08F84D88">
      <w:start w:val="1"/>
      <w:numFmt w:val="bullet"/>
      <w:lvlText w:val=""/>
      <w:lvlJc w:val="left"/>
      <w:pPr>
        <w:ind w:left="6480" w:hanging="360"/>
      </w:pPr>
      <w:rPr>
        <w:rFonts w:ascii="Wingdings" w:hAnsi="Wingdings" w:hint="default"/>
      </w:rPr>
    </w:lvl>
  </w:abstractNum>
  <w:abstractNum w:abstractNumId="4"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5"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766BB"/>
    <w:multiLevelType w:val="hybridMultilevel"/>
    <w:tmpl w:val="9E407996"/>
    <w:lvl w:ilvl="0" w:tplc="126879B8">
      <w:start w:val="1"/>
      <w:numFmt w:val="bullet"/>
      <w:lvlText w:val=""/>
      <w:lvlJc w:val="left"/>
      <w:pPr>
        <w:ind w:left="720" w:hanging="360"/>
      </w:pPr>
      <w:rPr>
        <w:rFonts w:ascii="Symbol" w:hAnsi="Symbol" w:hint="default"/>
      </w:rPr>
    </w:lvl>
    <w:lvl w:ilvl="1" w:tplc="F8EC3D40">
      <w:start w:val="1"/>
      <w:numFmt w:val="bullet"/>
      <w:lvlText w:val="o"/>
      <w:lvlJc w:val="left"/>
      <w:pPr>
        <w:ind w:left="1440" w:hanging="360"/>
      </w:pPr>
      <w:rPr>
        <w:rFonts w:ascii="Courier New" w:hAnsi="Courier New" w:hint="default"/>
      </w:rPr>
    </w:lvl>
    <w:lvl w:ilvl="2" w:tplc="50B82F96">
      <w:start w:val="1"/>
      <w:numFmt w:val="bullet"/>
      <w:lvlText w:val=""/>
      <w:lvlJc w:val="left"/>
      <w:pPr>
        <w:ind w:left="2160" w:hanging="360"/>
      </w:pPr>
      <w:rPr>
        <w:rFonts w:ascii="Wingdings" w:hAnsi="Wingdings" w:hint="default"/>
      </w:rPr>
    </w:lvl>
    <w:lvl w:ilvl="3" w:tplc="1624A04C">
      <w:start w:val="1"/>
      <w:numFmt w:val="bullet"/>
      <w:lvlText w:val=""/>
      <w:lvlJc w:val="left"/>
      <w:pPr>
        <w:ind w:left="2880" w:hanging="360"/>
      </w:pPr>
      <w:rPr>
        <w:rFonts w:ascii="Symbol" w:hAnsi="Symbol" w:hint="default"/>
      </w:rPr>
    </w:lvl>
    <w:lvl w:ilvl="4" w:tplc="20385178">
      <w:start w:val="1"/>
      <w:numFmt w:val="bullet"/>
      <w:lvlText w:val="o"/>
      <w:lvlJc w:val="left"/>
      <w:pPr>
        <w:ind w:left="3600" w:hanging="360"/>
      </w:pPr>
      <w:rPr>
        <w:rFonts w:ascii="Courier New" w:hAnsi="Courier New" w:hint="default"/>
      </w:rPr>
    </w:lvl>
    <w:lvl w:ilvl="5" w:tplc="DCDA59CA">
      <w:start w:val="1"/>
      <w:numFmt w:val="bullet"/>
      <w:lvlText w:val=""/>
      <w:lvlJc w:val="left"/>
      <w:pPr>
        <w:ind w:left="4320" w:hanging="360"/>
      </w:pPr>
      <w:rPr>
        <w:rFonts w:ascii="Wingdings" w:hAnsi="Wingdings" w:hint="default"/>
      </w:rPr>
    </w:lvl>
    <w:lvl w:ilvl="6" w:tplc="04EE8CE4">
      <w:start w:val="1"/>
      <w:numFmt w:val="bullet"/>
      <w:lvlText w:val=""/>
      <w:lvlJc w:val="left"/>
      <w:pPr>
        <w:ind w:left="5040" w:hanging="360"/>
      </w:pPr>
      <w:rPr>
        <w:rFonts w:ascii="Symbol" w:hAnsi="Symbol" w:hint="default"/>
      </w:rPr>
    </w:lvl>
    <w:lvl w:ilvl="7" w:tplc="75A22714">
      <w:start w:val="1"/>
      <w:numFmt w:val="bullet"/>
      <w:lvlText w:val="o"/>
      <w:lvlJc w:val="left"/>
      <w:pPr>
        <w:ind w:left="5760" w:hanging="360"/>
      </w:pPr>
      <w:rPr>
        <w:rFonts w:ascii="Courier New" w:hAnsi="Courier New" w:hint="default"/>
      </w:rPr>
    </w:lvl>
    <w:lvl w:ilvl="8" w:tplc="73D29E7E">
      <w:start w:val="1"/>
      <w:numFmt w:val="bullet"/>
      <w:lvlText w:val=""/>
      <w:lvlJc w:val="left"/>
      <w:pPr>
        <w:ind w:left="6480" w:hanging="360"/>
      </w:pPr>
      <w:rPr>
        <w:rFonts w:ascii="Wingdings" w:hAnsi="Wingdings" w:hint="default"/>
      </w:r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4"/>
  </w:num>
  <w:num w:numId="6">
    <w:abstractNumId w:val="0"/>
  </w:num>
  <w:num w:numId="7">
    <w:abstractNumId w:val="2"/>
  </w:num>
  <w:num w:numId="8">
    <w:abstractNumId w:val="8"/>
  </w:num>
  <w:num w:numId="9">
    <w:abstractNumId w:val="9"/>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010B9"/>
    <w:rsid w:val="001B52CA"/>
    <w:rsid w:val="001D55B0"/>
    <w:rsid w:val="0022411C"/>
    <w:rsid w:val="0026797A"/>
    <w:rsid w:val="0027587A"/>
    <w:rsid w:val="002A100A"/>
    <w:rsid w:val="002D66CC"/>
    <w:rsid w:val="00300812"/>
    <w:rsid w:val="00300D8D"/>
    <w:rsid w:val="00300F93"/>
    <w:rsid w:val="00327EB0"/>
    <w:rsid w:val="00344E90"/>
    <w:rsid w:val="003554B6"/>
    <w:rsid w:val="0035696D"/>
    <w:rsid w:val="00356BE5"/>
    <w:rsid w:val="00373050"/>
    <w:rsid w:val="003931A2"/>
    <w:rsid w:val="003B2D38"/>
    <w:rsid w:val="003F29AA"/>
    <w:rsid w:val="00458732"/>
    <w:rsid w:val="00472F13"/>
    <w:rsid w:val="00485E63"/>
    <w:rsid w:val="00496DD9"/>
    <w:rsid w:val="004C5ABE"/>
    <w:rsid w:val="004F6C8F"/>
    <w:rsid w:val="00506FC3"/>
    <w:rsid w:val="00551272"/>
    <w:rsid w:val="0059714F"/>
    <w:rsid w:val="005A7631"/>
    <w:rsid w:val="005D6523"/>
    <w:rsid w:val="006231FB"/>
    <w:rsid w:val="00665A1E"/>
    <w:rsid w:val="00686AA4"/>
    <w:rsid w:val="006B3525"/>
    <w:rsid w:val="00770DA0"/>
    <w:rsid w:val="007911BE"/>
    <w:rsid w:val="00800077"/>
    <w:rsid w:val="00800630"/>
    <w:rsid w:val="00863AC2"/>
    <w:rsid w:val="008707C4"/>
    <w:rsid w:val="00872B58"/>
    <w:rsid w:val="00872BA4"/>
    <w:rsid w:val="00887339"/>
    <w:rsid w:val="00890484"/>
    <w:rsid w:val="008E65C5"/>
    <w:rsid w:val="00963CE4"/>
    <w:rsid w:val="00976EA9"/>
    <w:rsid w:val="00980D00"/>
    <w:rsid w:val="009A23AC"/>
    <w:rsid w:val="009C5702"/>
    <w:rsid w:val="00A015AF"/>
    <w:rsid w:val="00A106D4"/>
    <w:rsid w:val="00A42905"/>
    <w:rsid w:val="00AB54F2"/>
    <w:rsid w:val="00AD794D"/>
    <w:rsid w:val="00AF0B40"/>
    <w:rsid w:val="00B30905"/>
    <w:rsid w:val="00B51C91"/>
    <w:rsid w:val="00B542E4"/>
    <w:rsid w:val="00B56658"/>
    <w:rsid w:val="00B77D28"/>
    <w:rsid w:val="00B87EF5"/>
    <w:rsid w:val="00B9167F"/>
    <w:rsid w:val="00BB0B34"/>
    <w:rsid w:val="00BB6EA2"/>
    <w:rsid w:val="00BC1904"/>
    <w:rsid w:val="00BD5AD6"/>
    <w:rsid w:val="00BD6B54"/>
    <w:rsid w:val="00C06C4E"/>
    <w:rsid w:val="00C41661"/>
    <w:rsid w:val="00C43BD2"/>
    <w:rsid w:val="00C53B82"/>
    <w:rsid w:val="00CA1046"/>
    <w:rsid w:val="00CA3BE5"/>
    <w:rsid w:val="00CB4075"/>
    <w:rsid w:val="00CD2C98"/>
    <w:rsid w:val="00D330A6"/>
    <w:rsid w:val="00D71053"/>
    <w:rsid w:val="00D762C9"/>
    <w:rsid w:val="00D9277C"/>
    <w:rsid w:val="00DB37A5"/>
    <w:rsid w:val="00DC5156"/>
    <w:rsid w:val="00DD086F"/>
    <w:rsid w:val="00DE49CF"/>
    <w:rsid w:val="00E0137B"/>
    <w:rsid w:val="00E441BE"/>
    <w:rsid w:val="00E63F8D"/>
    <w:rsid w:val="00EA4E02"/>
    <w:rsid w:val="00EC75DD"/>
    <w:rsid w:val="00EF0C9F"/>
    <w:rsid w:val="00F14F43"/>
    <w:rsid w:val="00F46949"/>
    <w:rsid w:val="00F84723"/>
    <w:rsid w:val="00FB5DC0"/>
    <w:rsid w:val="00FC0AA2"/>
    <w:rsid w:val="017A6FA3"/>
    <w:rsid w:val="01ED20D3"/>
    <w:rsid w:val="02251F92"/>
    <w:rsid w:val="0365F255"/>
    <w:rsid w:val="044F1072"/>
    <w:rsid w:val="045BF1AD"/>
    <w:rsid w:val="05A836D4"/>
    <w:rsid w:val="0643A2AB"/>
    <w:rsid w:val="06953851"/>
    <w:rsid w:val="07C9D6E0"/>
    <w:rsid w:val="07D04B2D"/>
    <w:rsid w:val="081C60CA"/>
    <w:rsid w:val="082CC511"/>
    <w:rsid w:val="09335D90"/>
    <w:rsid w:val="0A003D7F"/>
    <w:rsid w:val="0A2CDC34"/>
    <w:rsid w:val="0AAD7BC6"/>
    <w:rsid w:val="0ABE3CF3"/>
    <w:rsid w:val="0B11FEFA"/>
    <w:rsid w:val="0B773283"/>
    <w:rsid w:val="0B8E293D"/>
    <w:rsid w:val="0B99F1C1"/>
    <w:rsid w:val="0C2DCDBC"/>
    <w:rsid w:val="0C34B4F6"/>
    <w:rsid w:val="0C8156BD"/>
    <w:rsid w:val="0CD70CBB"/>
    <w:rsid w:val="0D0A4BA7"/>
    <w:rsid w:val="0E04191D"/>
    <w:rsid w:val="0E16BC08"/>
    <w:rsid w:val="0EBFA8C5"/>
    <w:rsid w:val="0ECBA6C1"/>
    <w:rsid w:val="0F2C8211"/>
    <w:rsid w:val="0FF4EC02"/>
    <w:rsid w:val="100626D9"/>
    <w:rsid w:val="1039C8F6"/>
    <w:rsid w:val="10508FBE"/>
    <w:rsid w:val="11458547"/>
    <w:rsid w:val="118102CB"/>
    <w:rsid w:val="118B1692"/>
    <w:rsid w:val="12CF9C68"/>
    <w:rsid w:val="12ECAFE9"/>
    <w:rsid w:val="13031F34"/>
    <w:rsid w:val="1304DF78"/>
    <w:rsid w:val="134DEFB0"/>
    <w:rsid w:val="137D2887"/>
    <w:rsid w:val="13DAC150"/>
    <w:rsid w:val="143B419E"/>
    <w:rsid w:val="148FBD78"/>
    <w:rsid w:val="15CE0E12"/>
    <w:rsid w:val="15E78A03"/>
    <w:rsid w:val="1651B394"/>
    <w:rsid w:val="1666A711"/>
    <w:rsid w:val="16F3CB71"/>
    <w:rsid w:val="1711FEE5"/>
    <w:rsid w:val="17495722"/>
    <w:rsid w:val="19776AF4"/>
    <w:rsid w:val="19CC8DFF"/>
    <w:rsid w:val="1ABF8DB2"/>
    <w:rsid w:val="1B7C5E0B"/>
    <w:rsid w:val="1BB44B0B"/>
    <w:rsid w:val="1E2A045C"/>
    <w:rsid w:val="1E97D5E6"/>
    <w:rsid w:val="1F270DDB"/>
    <w:rsid w:val="1F7457EA"/>
    <w:rsid w:val="1F95CBF4"/>
    <w:rsid w:val="1F9C634C"/>
    <w:rsid w:val="1FD708CF"/>
    <w:rsid w:val="201CF74B"/>
    <w:rsid w:val="213833AD"/>
    <w:rsid w:val="21966300"/>
    <w:rsid w:val="234DB5E1"/>
    <w:rsid w:val="236B4709"/>
    <w:rsid w:val="2458AF87"/>
    <w:rsid w:val="255201E7"/>
    <w:rsid w:val="25807E8A"/>
    <w:rsid w:val="25EDCB23"/>
    <w:rsid w:val="275154E9"/>
    <w:rsid w:val="27576571"/>
    <w:rsid w:val="2822FAC6"/>
    <w:rsid w:val="282E2091"/>
    <w:rsid w:val="2AA4BDA7"/>
    <w:rsid w:val="2AC8B079"/>
    <w:rsid w:val="2AD1A3FE"/>
    <w:rsid w:val="2B71373A"/>
    <w:rsid w:val="2C6CDE68"/>
    <w:rsid w:val="2D51159C"/>
    <w:rsid w:val="2D7FEF55"/>
    <w:rsid w:val="2E410E00"/>
    <w:rsid w:val="2E477674"/>
    <w:rsid w:val="2E952437"/>
    <w:rsid w:val="2EECE5FD"/>
    <w:rsid w:val="2FF0FDBA"/>
    <w:rsid w:val="3041410F"/>
    <w:rsid w:val="30CDEACE"/>
    <w:rsid w:val="30E407B3"/>
    <w:rsid w:val="31D54F44"/>
    <w:rsid w:val="328E971D"/>
    <w:rsid w:val="32B1B4D3"/>
    <w:rsid w:val="32E87EF7"/>
    <w:rsid w:val="3378E1D1"/>
    <w:rsid w:val="351280C1"/>
    <w:rsid w:val="38171751"/>
    <w:rsid w:val="386E153C"/>
    <w:rsid w:val="38B71D6A"/>
    <w:rsid w:val="39648390"/>
    <w:rsid w:val="396D877D"/>
    <w:rsid w:val="39725B81"/>
    <w:rsid w:val="39F1CCBC"/>
    <w:rsid w:val="3A6FAE9D"/>
    <w:rsid w:val="3C0A79D6"/>
    <w:rsid w:val="3C0B83B4"/>
    <w:rsid w:val="3CD7CCF5"/>
    <w:rsid w:val="3CE68E41"/>
    <w:rsid w:val="3D2BDA56"/>
    <w:rsid w:val="3E64F3E0"/>
    <w:rsid w:val="3EA8BBDF"/>
    <w:rsid w:val="3EFAF9E1"/>
    <w:rsid w:val="404F61D3"/>
    <w:rsid w:val="41B2989F"/>
    <w:rsid w:val="427FB747"/>
    <w:rsid w:val="428E0291"/>
    <w:rsid w:val="433DFD85"/>
    <w:rsid w:val="43596AE6"/>
    <w:rsid w:val="439FDF39"/>
    <w:rsid w:val="43F249A9"/>
    <w:rsid w:val="45222427"/>
    <w:rsid w:val="45C3E30F"/>
    <w:rsid w:val="46837A4F"/>
    <w:rsid w:val="476173B4"/>
    <w:rsid w:val="47C83790"/>
    <w:rsid w:val="47CEB289"/>
    <w:rsid w:val="48378762"/>
    <w:rsid w:val="48E7518B"/>
    <w:rsid w:val="49F4EE38"/>
    <w:rsid w:val="4A194456"/>
    <w:rsid w:val="4A54C733"/>
    <w:rsid w:val="4A9B697A"/>
    <w:rsid w:val="4AB86F41"/>
    <w:rsid w:val="4B11191C"/>
    <w:rsid w:val="4B4F307A"/>
    <w:rsid w:val="4BBB7754"/>
    <w:rsid w:val="4CCE58BB"/>
    <w:rsid w:val="4D7D2065"/>
    <w:rsid w:val="4DC759FD"/>
    <w:rsid w:val="4E6A8F31"/>
    <w:rsid w:val="4F3BF885"/>
    <w:rsid w:val="4FEDB4EA"/>
    <w:rsid w:val="507C7E08"/>
    <w:rsid w:val="5111616E"/>
    <w:rsid w:val="51370D45"/>
    <w:rsid w:val="51F994DB"/>
    <w:rsid w:val="5216D46F"/>
    <w:rsid w:val="5279CFC6"/>
    <w:rsid w:val="52BF22C0"/>
    <w:rsid w:val="53EEDAD6"/>
    <w:rsid w:val="547E444A"/>
    <w:rsid w:val="547FFAE0"/>
    <w:rsid w:val="557B9F8C"/>
    <w:rsid w:val="557DB8F8"/>
    <w:rsid w:val="5625A594"/>
    <w:rsid w:val="56277CA2"/>
    <w:rsid w:val="56B4A16F"/>
    <w:rsid w:val="585071D0"/>
    <w:rsid w:val="5878D708"/>
    <w:rsid w:val="59405C85"/>
    <w:rsid w:val="594A8349"/>
    <w:rsid w:val="594D45D0"/>
    <w:rsid w:val="59BADF24"/>
    <w:rsid w:val="5ADC2CE6"/>
    <w:rsid w:val="5BB66BB1"/>
    <w:rsid w:val="5BCF6986"/>
    <w:rsid w:val="5C37FD43"/>
    <w:rsid w:val="5CBBFCC9"/>
    <w:rsid w:val="5E4C9A5B"/>
    <w:rsid w:val="5F88197C"/>
    <w:rsid w:val="6002AB7F"/>
    <w:rsid w:val="6010CC80"/>
    <w:rsid w:val="6079BFEB"/>
    <w:rsid w:val="62059022"/>
    <w:rsid w:val="62289522"/>
    <w:rsid w:val="6240FA37"/>
    <w:rsid w:val="634338B4"/>
    <w:rsid w:val="6444DFAF"/>
    <w:rsid w:val="6551DB58"/>
    <w:rsid w:val="6575746A"/>
    <w:rsid w:val="65943897"/>
    <w:rsid w:val="65DFD2A5"/>
    <w:rsid w:val="65E9D2E5"/>
    <w:rsid w:val="66777201"/>
    <w:rsid w:val="66D90145"/>
    <w:rsid w:val="67A7E7A3"/>
    <w:rsid w:val="693027CC"/>
    <w:rsid w:val="695994BF"/>
    <w:rsid w:val="695A588D"/>
    <w:rsid w:val="6A5506BC"/>
    <w:rsid w:val="6AF553B1"/>
    <w:rsid w:val="6B2CB8EF"/>
    <w:rsid w:val="6B5ECC4A"/>
    <w:rsid w:val="6BE21697"/>
    <w:rsid w:val="6C8AFDEF"/>
    <w:rsid w:val="6CBDC2CC"/>
    <w:rsid w:val="6D11706C"/>
    <w:rsid w:val="6D1B4991"/>
    <w:rsid w:val="6D33F6A2"/>
    <w:rsid w:val="6E3A6498"/>
    <w:rsid w:val="6E79A38F"/>
    <w:rsid w:val="6F8C3B8E"/>
    <w:rsid w:val="6F923161"/>
    <w:rsid w:val="6F9DEAC1"/>
    <w:rsid w:val="700CE321"/>
    <w:rsid w:val="70350FDD"/>
    <w:rsid w:val="70622CEC"/>
    <w:rsid w:val="7222B9C5"/>
    <w:rsid w:val="73B2F60B"/>
    <w:rsid w:val="73F7DBF8"/>
    <w:rsid w:val="75B1BA69"/>
    <w:rsid w:val="761FB338"/>
    <w:rsid w:val="768742F6"/>
    <w:rsid w:val="790F151A"/>
    <w:rsid w:val="79577504"/>
    <w:rsid w:val="798C1E3F"/>
    <w:rsid w:val="79F41046"/>
    <w:rsid w:val="7ADECC18"/>
    <w:rsid w:val="7B475C77"/>
    <w:rsid w:val="7BDE2E06"/>
    <w:rsid w:val="7D5128D7"/>
    <w:rsid w:val="7D7C76F4"/>
    <w:rsid w:val="7D880A16"/>
    <w:rsid w:val="7DF0AAE8"/>
    <w:rsid w:val="7F204854"/>
    <w:rsid w:val="7FE7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6949"/>
    <w:rPr>
      <w:b/>
      <w:bCs/>
    </w:rPr>
  </w:style>
  <w:style w:type="character" w:customStyle="1" w:styleId="CommentSubjectChar">
    <w:name w:val="Comment Subject Char"/>
    <w:basedOn w:val="CommentTextChar"/>
    <w:link w:val="CommentSubject"/>
    <w:uiPriority w:val="99"/>
    <w:semiHidden/>
    <w:rsid w:val="00F46949"/>
    <w:rPr>
      <w:b/>
      <w:bCs/>
      <w:sz w:val="20"/>
      <w:szCs w:val="20"/>
    </w:rPr>
  </w:style>
  <w:style w:type="paragraph" w:styleId="NormalWeb">
    <w:name w:val="Normal (Web)"/>
    <w:basedOn w:val="Normal"/>
    <w:uiPriority w:val="99"/>
    <w:semiHidden/>
    <w:unhideWhenUsed/>
    <w:rsid w:val="0080063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f3071e8bc3114363b078314a6e577265" TargetMode="Externa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B4A (Suspension/Expulsion) Data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B4A!$A$2</c:f>
              <c:strCache>
                <c:ptCount val="1"/>
                <c:pt idx="0">
                  <c:v>Data</c:v>
                </c:pt>
              </c:strCache>
            </c:strRef>
          </c:tx>
          <c:spPr>
            <a:ln w="28575" cap="rnd">
              <a:solidFill>
                <a:srgbClr val="1B75BC"/>
              </a:solidFill>
              <a:round/>
            </a:ln>
            <a:effectLst/>
          </c:spPr>
          <c:marker>
            <c:symbol val="none"/>
          </c:marker>
          <c:dLbls>
            <c:dLbl>
              <c:idx val="0"/>
              <c:layout>
                <c:manualLayout>
                  <c:x val="-4.4456279584309387E-2"/>
                  <c:y val="-3.64407939152075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1-427F-89F8-A20F0FD84EFE}"/>
                </c:ext>
              </c:extLst>
            </c:dLbl>
            <c:dLbl>
              <c:idx val="1"/>
              <c:layout>
                <c:manualLayout>
                  <c:x val="-5.6029368281796874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1-427F-89F8-A20F0FD84EFE}"/>
                </c:ext>
              </c:extLst>
            </c:dLbl>
            <c:dLbl>
              <c:idx val="3"/>
              <c:layout>
                <c:manualLayout>
                  <c:x val="-3.4339943310281895E-2"/>
                  <c:y val="6.50256762101075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451-427F-89F8-A20F0FD84EFE}"/>
                </c:ext>
              </c:extLst>
            </c:dLbl>
            <c:dLbl>
              <c:idx val="4"/>
              <c:layout>
                <c:manualLayout>
                  <c:x val="-5.0526081348725882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B4A!$B$2:$H$2</c:f>
              <c:numCache>
                <c:formatCode>0.00%</c:formatCode>
                <c:ptCount val="7"/>
                <c:pt idx="0">
                  <c:v>0.1371</c:v>
                </c:pt>
                <c:pt idx="1">
                  <c:v>8.6300000000000002E-2</c:v>
                </c:pt>
                <c:pt idx="3">
                  <c:v>0.62960000000000005</c:v>
                </c:pt>
                <c:pt idx="4">
                  <c:v>0.66669999999999996</c:v>
                </c:pt>
                <c:pt idx="5">
                  <c:v>0.53129999999999999</c:v>
                </c:pt>
                <c:pt idx="6">
                  <c:v>0.6774</c:v>
                </c:pt>
              </c:numCache>
            </c:numRef>
          </c:val>
          <c:smooth val="0"/>
          <c:extLst>
            <c:ext xmlns:c16="http://schemas.microsoft.com/office/drawing/2014/chart" uri="{C3380CC4-5D6E-409C-BE32-E72D297353CC}">
              <c16:uniqueId val="{00000004-5451-427F-89F8-A20F0FD84EFE}"/>
            </c:ext>
          </c:extLst>
        </c:ser>
        <c:ser>
          <c:idx val="1"/>
          <c:order val="1"/>
          <c:tx>
            <c:strRef>
              <c:f>B4A!$A$3</c:f>
              <c:strCache>
                <c:ptCount val="1"/>
                <c:pt idx="0">
                  <c:v>Target &lt;=</c:v>
                </c:pt>
              </c:strCache>
            </c:strRef>
          </c:tx>
          <c:spPr>
            <a:ln w="28575" cap="rnd">
              <a:solidFill>
                <a:srgbClr val="408740"/>
              </a:solidFill>
              <a:round/>
            </a:ln>
            <a:effectLst/>
          </c:spPr>
          <c:marker>
            <c:symbol val="none"/>
          </c:marker>
          <c:dLbls>
            <c:dLbl>
              <c:idx val="0"/>
              <c:layout>
                <c:manualLayout>
                  <c:x val="-4.046024709987741E-2"/>
                  <c:y val="-2.6928312340959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451-427F-89F8-A20F0FD84EFE}"/>
                </c:ext>
              </c:extLst>
            </c:dLbl>
            <c:dLbl>
              <c:idx val="1"/>
              <c:layout>
                <c:manualLayout>
                  <c:x val="-1.011123827779495E-2"/>
                  <c:y val="4.77995957320166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451-427F-89F8-A20F0FD84EFE}"/>
                </c:ext>
              </c:extLst>
            </c:dLbl>
            <c:dLbl>
              <c:idx val="4"/>
              <c:layout>
                <c:manualLayout>
                  <c:x val="-3.2933692912000941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451-427F-89F8-A20F0FD84EFE}"/>
                </c:ext>
              </c:extLst>
            </c:dLbl>
            <c:dLbl>
              <c:idx val="6"/>
              <c:layout>
                <c:manualLayout>
                  <c:x val="-3.4956960166806439E-2"/>
                  <c:y val="2.69757499131142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B4A!$B$3:$H$3</c:f>
              <c:numCache>
                <c:formatCode>0.00%</c:formatCode>
                <c:ptCount val="7"/>
                <c:pt idx="0">
                  <c:v>7.1999999999999995E-2</c:v>
                </c:pt>
                <c:pt idx="1">
                  <c:v>6.7000000000000004E-2</c:v>
                </c:pt>
                <c:pt idx="3">
                  <c:v>0.6865</c:v>
                </c:pt>
                <c:pt idx="4">
                  <c:v>0.68149999999999999</c:v>
                </c:pt>
                <c:pt idx="5">
                  <c:v>0.67649999999999999</c:v>
                </c:pt>
                <c:pt idx="6">
                  <c:v>0.62</c:v>
                </c:pt>
              </c:numCache>
            </c:numRef>
          </c:val>
          <c:smooth val="0"/>
          <c:extLst>
            <c:ext xmlns:c16="http://schemas.microsoft.com/office/drawing/2014/chart" uri="{C3380CC4-5D6E-409C-BE32-E72D297353CC}">
              <c16:uniqueId val="{00000009-5451-427F-89F8-A20F0FD84EFE}"/>
            </c:ext>
          </c:extLst>
        </c:ser>
        <c:ser>
          <c:idx val="2"/>
          <c:order val="2"/>
          <c:tx>
            <c:strRef>
              <c:f>B4A!$A$4</c:f>
              <c:strCache>
                <c:ptCount val="1"/>
                <c:pt idx="0">
                  <c:v>Phase</c:v>
                </c:pt>
              </c:strCache>
            </c:strRef>
          </c:tx>
          <c:spPr>
            <a:ln w="28575" cap="rnd">
              <a:solidFill>
                <a:schemeClr val="accent3"/>
              </a:solidFill>
              <a:round/>
            </a:ln>
            <a:effectLst/>
          </c:spPr>
          <c:marker>
            <c:symbol val="none"/>
          </c:marker>
          <c:dLbls>
            <c:delete val="1"/>
          </c:dLbls>
          <c:cat>
            <c:numRef>
              <c:f>B4A!$B$1:$H$1</c:f>
              <c:numCache>
                <c:formatCode>General</c:formatCode>
                <c:ptCount val="7"/>
                <c:pt idx="0">
                  <c:v>2014</c:v>
                </c:pt>
                <c:pt idx="1">
                  <c:v>2015</c:v>
                </c:pt>
                <c:pt idx="3">
                  <c:v>2016</c:v>
                </c:pt>
                <c:pt idx="4">
                  <c:v>2017</c:v>
                </c:pt>
                <c:pt idx="5">
                  <c:v>2018</c:v>
                </c:pt>
                <c:pt idx="6">
                  <c:v>2019</c:v>
                </c:pt>
              </c:numCache>
            </c:numRef>
          </c:cat>
          <c:val>
            <c:numRef>
              <c:f>B4A!$B$4:$H$4</c:f>
              <c:numCache>
                <c:formatCode>General</c:formatCode>
                <c:ptCount val="7"/>
                <c:pt idx="2" formatCode="0%">
                  <c:v>1</c:v>
                </c:pt>
              </c:numCache>
            </c:numRef>
          </c:val>
          <c:smooth val="0"/>
          <c:extLst>
            <c:ext xmlns:c16="http://schemas.microsoft.com/office/drawing/2014/chart" uri="{C3380CC4-5D6E-409C-BE32-E72D297353CC}">
              <c16:uniqueId val="{0000000A-5451-427F-89F8-A20F0FD84EF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2021-12-17T18:47:47+00:00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205B1380-D19C-4338-BD7F-6E841B29A1A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2021-12-17T17:37:00Z</dcterms:created>
  <dcterms:modified xsi:type="dcterms:W3CDTF">2021-12-17T17:37:00Z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