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B7C5E0B" w14:paraId="084C1F72" w14:textId="77777777" w:rsidTr="003554B6">
        <w:trPr>
          <w:tblHeader/>
        </w:trPr>
        <w:tc>
          <w:tcPr>
            <w:tcW w:w="2160" w:type="dxa"/>
            <w:vAlign w:val="center"/>
          </w:tcPr>
          <w:p w14:paraId="57AF7FFA" w14:textId="77777777" w:rsidR="1B7C5E0B" w:rsidRDefault="1B7C5E0B" w:rsidP="1B7C5E0B">
            <w:pPr>
              <w:spacing w:after="200"/>
              <w:jc w:val="center"/>
              <w:rPr>
                <w:rFonts w:eastAsia="Arial"/>
                <w:b/>
                <w:bCs/>
                <w:color w:val="082A75"/>
                <w:sz w:val="36"/>
                <w:szCs w:val="36"/>
              </w:rPr>
            </w:pPr>
            <w:bookmarkStart w:id="0" w:name="_GoBack"/>
            <w:bookmarkEnd w:id="0"/>
            <w:r>
              <w:rPr>
                <w:rFonts w:hint="eastAsia"/>
                <w:noProof/>
                <w:lang w:eastAsia="en-US"/>
              </w:rPr>
              <w:drawing>
                <wp:inline distT="0" distB="0" distL="0" distR="0" wp14:anchorId="2310871B" wp14:editId="7BCFE3E0">
                  <wp:extent cx="1077554" cy="1145969"/>
                  <wp:effectExtent l="0" t="0" r="8890" b="0"/>
                  <wp:docPr id="102924986"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2F2D8A2" w14:textId="08642889" w:rsidR="004F6C8F" w:rsidRPr="007C77D4" w:rsidRDefault="000541EB" w:rsidP="004F6C8F">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州表現計畫（</w:t>
            </w:r>
            <w:r>
              <w:rPr>
                <w:rFonts w:asciiTheme="minorHAnsi" w:hAnsiTheme="minorHAnsi"/>
                <w:b/>
                <w:bCs/>
                <w:color w:val="1B75BC"/>
                <w:sz w:val="48"/>
                <w:szCs w:val="48"/>
                <w:lang w:eastAsia="zh-TW"/>
              </w:rPr>
              <w:t>SPP</w:t>
            </w:r>
            <w:r>
              <w:rPr>
                <w:rFonts w:asciiTheme="minorHAnsi" w:hAnsiTheme="minorHAnsi" w:hint="eastAsia"/>
                <w:b/>
                <w:bCs/>
                <w:color w:val="1B75BC"/>
                <w:sz w:val="48"/>
                <w:szCs w:val="48"/>
                <w:lang w:eastAsia="zh-TW"/>
              </w:rPr>
              <w:t>）</w:t>
            </w:r>
          </w:p>
          <w:p w14:paraId="2F0F70D4" w14:textId="455556B7" w:rsidR="1B7C5E0B" w:rsidRDefault="000541EB" w:rsidP="004F6C8F">
            <w:pPr>
              <w:pStyle w:val="Title"/>
              <w:spacing w:after="200"/>
              <w:jc w:val="center"/>
              <w:rPr>
                <w:rFonts w:asciiTheme="minorHAnsi" w:eastAsia="Arial" w:hAnsiTheme="minorHAnsi" w:cstheme="minorBidi"/>
                <w:b/>
                <w:bCs/>
                <w:color w:val="082A75"/>
                <w:sz w:val="48"/>
                <w:szCs w:val="48"/>
              </w:rPr>
            </w:pPr>
            <w:r>
              <w:rPr>
                <w:rFonts w:asciiTheme="minorHAnsi" w:hAnsiTheme="minorHAnsi" w:hint="eastAsia"/>
                <w:b/>
                <w:bCs/>
                <w:color w:val="1B75BC"/>
                <w:sz w:val="48"/>
                <w:szCs w:val="48"/>
                <w:lang w:eastAsia="zh-TW"/>
              </w:rPr>
              <w:t>概況介紹</w:t>
            </w:r>
          </w:p>
          <w:p w14:paraId="2846B97B" w14:textId="13372AB6" w:rsidR="1B7C5E0B" w:rsidRDefault="000541EB" w:rsidP="1B7C5E0B">
            <w:pPr>
              <w:pStyle w:val="Title"/>
              <w:spacing w:after="200"/>
              <w:jc w:val="center"/>
              <w:rPr>
                <w:rFonts w:asciiTheme="minorHAnsi" w:eastAsia="Arial" w:hAnsiTheme="minorHAnsi" w:cstheme="minorBidi"/>
                <w:b/>
                <w:bCs/>
                <w:color w:val="082A75"/>
                <w:sz w:val="32"/>
                <w:szCs w:val="32"/>
              </w:rPr>
            </w:pPr>
            <w:r>
              <w:rPr>
                <w:rFonts w:asciiTheme="minorHAnsi" w:hAnsiTheme="minorHAnsi" w:hint="eastAsia"/>
                <w:b/>
                <w:bCs/>
                <w:color w:val="1B75BC"/>
                <w:sz w:val="32"/>
                <w:szCs w:val="32"/>
                <w:lang w:eastAsia="zh-TW"/>
              </w:rPr>
              <w:t>指標</w:t>
            </w:r>
            <w:r>
              <w:rPr>
                <w:rFonts w:asciiTheme="minorHAnsi" w:hAnsiTheme="minorHAnsi"/>
                <w:b/>
                <w:bCs/>
                <w:color w:val="1B75BC"/>
                <w:sz w:val="32"/>
                <w:szCs w:val="32"/>
                <w:lang w:eastAsia="zh-TW"/>
              </w:rPr>
              <w:t xml:space="preserve">B4A: </w:t>
            </w:r>
            <w:r>
              <w:rPr>
                <w:rFonts w:asciiTheme="minorHAnsi" w:hAnsiTheme="minorHAnsi" w:hint="eastAsia"/>
                <w:b/>
                <w:bCs/>
                <w:color w:val="1B75BC"/>
                <w:sz w:val="32"/>
                <w:szCs w:val="32"/>
                <w:lang w:eastAsia="zh-TW"/>
              </w:rPr>
              <w:t>停學和開除</w:t>
            </w:r>
          </w:p>
        </w:tc>
      </w:tr>
      <w:tr w:rsidR="1B7C5E0B" w14:paraId="2E1D28EB" w14:textId="77777777" w:rsidTr="1B7C5E0B">
        <w:trPr>
          <w:trHeight w:val="72"/>
        </w:trPr>
        <w:tc>
          <w:tcPr>
            <w:tcW w:w="2484" w:type="dxa"/>
            <w:gridSpan w:val="2"/>
            <w:shd w:val="clear" w:color="auto" w:fill="9F2065"/>
          </w:tcPr>
          <w:p w14:paraId="4F3C832A" w14:textId="77777777" w:rsidR="1B7C5E0B" w:rsidRDefault="1B7C5E0B" w:rsidP="1B7C5E0B">
            <w:pPr>
              <w:rPr>
                <w:noProof/>
              </w:rPr>
            </w:pPr>
          </w:p>
        </w:tc>
        <w:tc>
          <w:tcPr>
            <w:tcW w:w="2484" w:type="dxa"/>
            <w:shd w:val="clear" w:color="auto" w:fill="E26B2A"/>
          </w:tcPr>
          <w:p w14:paraId="1561D28A"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1B75BC"/>
          </w:tcPr>
          <w:p w14:paraId="628B44D2"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408740"/>
          </w:tcPr>
          <w:p w14:paraId="062CAE25" w14:textId="46579079" w:rsidR="1B7C5E0B" w:rsidRDefault="1B7C5E0B" w:rsidP="1B7C5E0B">
            <w:pPr>
              <w:pStyle w:val="Title"/>
              <w:rPr>
                <w:rFonts w:asciiTheme="minorHAnsi" w:eastAsia="Arial" w:hAnsiTheme="minorHAnsi" w:cstheme="minorBidi"/>
                <w:b/>
                <w:bCs/>
                <w:color w:val="082974"/>
                <w:sz w:val="22"/>
                <w:szCs w:val="22"/>
              </w:rPr>
            </w:pPr>
          </w:p>
        </w:tc>
      </w:tr>
    </w:tbl>
    <w:p w14:paraId="4FF6F2F1" w14:textId="11779F49" w:rsidR="2E477674" w:rsidRPr="004F6C8F" w:rsidRDefault="000541EB" w:rsidP="001010B9">
      <w:pPr>
        <w:pStyle w:val="Heading1"/>
        <w:rPr>
          <w:rFonts w:ascii="Calibri" w:eastAsia="SimSun" w:hAnsi="Calibri" w:cs="Calibri"/>
          <w:color w:val="1B75BC"/>
        </w:rPr>
      </w:pPr>
      <w:r>
        <w:rPr>
          <w:rFonts w:ascii="Calibri" w:eastAsia="SimSun" w:hAnsi="Calibri" w:hint="eastAsia"/>
          <w:b/>
          <w:bCs/>
          <w:color w:val="1B75BC"/>
          <w:lang w:eastAsia="zh-TW"/>
        </w:rPr>
        <w:t>俄勒岡州表現計畫</w:t>
      </w:r>
    </w:p>
    <w:p w14:paraId="54D091D1" w14:textId="34C64D0F" w:rsidR="003931A2" w:rsidRDefault="000541EB" w:rsidP="003931A2">
      <w:pPr>
        <w:spacing w:line="240" w:lineRule="auto"/>
        <w:rPr>
          <w:rFonts w:ascii="Calibri" w:eastAsia="SimSun" w:hAnsi="Calibri" w:cs="Calibri"/>
          <w:color w:val="000000" w:themeColor="text1"/>
          <w:lang w:eastAsia="zh-TW"/>
        </w:rPr>
      </w:pPr>
      <w:r>
        <w:rPr>
          <w:rFonts w:ascii="Calibri" w:eastAsia="SimSun" w:hAnsi="Calibri" w:hint="eastAsia"/>
          <w:color w:val="000000" w:themeColor="text1"/>
          <w:lang w:eastAsia="zh-TW"/>
        </w:rPr>
        <w:t>根據</w:t>
      </w:r>
      <w:r>
        <w:rPr>
          <w:rFonts w:ascii="Calibri" w:eastAsia="SimSun" w:hAnsi="Calibri"/>
          <w:color w:val="000000" w:themeColor="text1"/>
          <w:lang w:eastAsia="zh-TW"/>
        </w:rPr>
        <w:t>2004</w:t>
      </w:r>
      <w:r>
        <w:rPr>
          <w:rFonts w:ascii="Calibri" w:eastAsia="SimSun" w:hAnsi="Calibri" w:hint="eastAsia"/>
          <w:color w:val="000000" w:themeColor="text1"/>
          <w:lang w:eastAsia="zh-TW"/>
        </w:rPr>
        <w:t>年《殘疾人教育法》</w:t>
      </w:r>
      <w:r>
        <w:rPr>
          <w:rFonts w:ascii="Calibri" w:eastAsia="SimSun" w:hAnsi="Calibri"/>
          <w:color w:val="000000" w:themeColor="text1"/>
          <w:lang w:eastAsia="zh-TW"/>
        </w:rPr>
        <w:t>(IDEA)</w:t>
      </w:r>
      <w:r>
        <w:rPr>
          <w:rFonts w:ascii="Calibri" w:eastAsia="SimSun" w:hAnsi="Calibri" w:hint="eastAsia"/>
          <w:color w:val="000000" w:themeColor="text1"/>
          <w:lang w:eastAsia="zh-TW"/>
        </w:rPr>
        <w:t>，俄勒岡州教育部</w:t>
      </w:r>
      <w:r>
        <w:rPr>
          <w:rFonts w:ascii="Calibri" w:eastAsia="SimSun" w:hAnsi="Calibri"/>
          <w:color w:val="000000" w:themeColor="text1"/>
          <w:lang w:eastAsia="zh-TW"/>
        </w:rPr>
        <w:t>(ODE)</w:t>
      </w:r>
      <w:r>
        <w:rPr>
          <w:rFonts w:ascii="Calibri" w:eastAsia="SimSun" w:hAnsi="Calibri" w:hint="eastAsia"/>
          <w:color w:val="000000" w:themeColor="text1"/>
          <w:lang w:eastAsia="zh-TW"/>
        </w:rPr>
        <w:t>必須向特殊教育方案辦公室</w:t>
      </w:r>
      <w:r>
        <w:rPr>
          <w:rFonts w:ascii="Calibri" w:eastAsia="SimSun" w:hAnsi="Calibri"/>
          <w:color w:val="000000" w:themeColor="text1"/>
          <w:lang w:eastAsia="zh-TW"/>
        </w:rPr>
        <w:t>(OSEP)</w:t>
      </w:r>
      <w:r>
        <w:rPr>
          <w:rFonts w:ascii="Calibri" w:eastAsia="SimSun" w:hAnsi="Calibri" w:hint="eastAsia"/>
          <w:color w:val="000000" w:themeColor="text1"/>
          <w:lang w:eastAsia="zh-TW"/>
        </w:rPr>
        <w:t>提交一份為期六年的州表現計畫</w:t>
      </w:r>
      <w:r>
        <w:rPr>
          <w:rFonts w:ascii="Calibri" w:eastAsia="SimSun" w:hAnsi="Calibri"/>
          <w:color w:val="000000" w:themeColor="text1"/>
          <w:lang w:eastAsia="zh-TW"/>
        </w:rPr>
        <w:t>(SPP)</w:t>
      </w:r>
      <w:r>
        <w:rPr>
          <w:rFonts w:ascii="Calibri" w:eastAsia="SimSun" w:hAnsi="Calibri" w:hint="eastAsia"/>
          <w:color w:val="000000" w:themeColor="text1"/>
          <w:lang w:eastAsia="zh-TW"/>
        </w:rPr>
        <w:t>。</w:t>
      </w:r>
      <w:r>
        <w:rPr>
          <w:rFonts w:ascii="Calibri" w:eastAsia="SimSun" w:hAnsi="Calibri"/>
          <w:color w:val="000000" w:themeColor="text1"/>
          <w:lang w:eastAsia="zh-TW"/>
        </w:rPr>
        <w:t>OSEP</w:t>
      </w:r>
      <w:r>
        <w:rPr>
          <w:rFonts w:ascii="Calibri" w:eastAsia="SimSun" w:hAnsi="Calibri" w:hint="eastAsia"/>
          <w:color w:val="000000" w:themeColor="text1"/>
          <w:lang w:eastAsia="zh-TW"/>
        </w:rPr>
        <w:t>制定了主要的業績衡量標準，稱為指標，以衡量各項遵守情況和結果。</w:t>
      </w:r>
      <w:r>
        <w:rPr>
          <w:rFonts w:ascii="Calibri" w:eastAsia="SimSun" w:hAnsi="Calibri"/>
          <w:color w:val="000000" w:themeColor="text1"/>
          <w:lang w:eastAsia="zh-TW"/>
        </w:rPr>
        <w:t>OSEP</w:t>
      </w:r>
      <w:r>
        <w:rPr>
          <w:rFonts w:ascii="Calibri" w:eastAsia="SimSun" w:hAnsi="Calibri" w:hint="eastAsia"/>
          <w:color w:val="000000" w:themeColor="text1"/>
          <w:lang w:eastAsia="zh-TW"/>
        </w:rPr>
        <w:t>為合規指標設定目標，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為結果指標設定目標。</w:t>
      </w:r>
      <w:r>
        <w:rPr>
          <w:rFonts w:ascii="Calibri" w:eastAsia="SimSun" w:hAnsi="Calibri"/>
          <w:color w:val="000000" w:themeColor="text1"/>
          <w:lang w:eastAsia="zh-TW"/>
        </w:rPr>
        <w:t>SPP</w:t>
      </w:r>
      <w:r>
        <w:rPr>
          <w:rFonts w:ascii="Calibri" w:eastAsia="SimSun" w:hAnsi="Calibri" w:hint="eastAsia"/>
          <w:color w:val="000000" w:themeColor="text1"/>
          <w:lang w:eastAsia="zh-TW"/>
        </w:rPr>
        <w:t>必須包括每個結果指標的相應目標。</w:t>
      </w:r>
      <w:r>
        <w:rPr>
          <w:rFonts w:ascii="Calibri" w:eastAsia="SimSun" w:hAnsi="Calibri"/>
          <w:color w:val="000000" w:themeColor="text1"/>
          <w:lang w:eastAsia="zh-TW"/>
        </w:rPr>
        <w:t>ODE</w:t>
      </w:r>
      <w:r>
        <w:rPr>
          <w:rFonts w:ascii="Calibri" w:eastAsia="SimSun" w:hAnsi="Calibri" w:hint="eastAsia"/>
          <w:color w:val="000000" w:themeColor="text1"/>
          <w:lang w:eastAsia="zh-TW"/>
        </w:rPr>
        <w:t>每年在年度執行情況報告</w:t>
      </w:r>
      <w:r>
        <w:rPr>
          <w:rFonts w:ascii="Calibri" w:eastAsia="SimSun" w:hAnsi="Calibri"/>
          <w:color w:val="000000" w:themeColor="text1"/>
          <w:lang w:eastAsia="zh-TW"/>
        </w:rPr>
        <w:t>(APR)</w:t>
      </w:r>
      <w:r>
        <w:rPr>
          <w:rFonts w:ascii="Calibri" w:eastAsia="SimSun" w:hAnsi="Calibri" w:hint="eastAsia"/>
          <w:color w:val="000000" w:themeColor="text1"/>
          <w:lang w:eastAsia="zh-TW"/>
        </w:rPr>
        <w:t>中報告在實現這些指標方面取得的進展。</w:t>
      </w:r>
      <w:r>
        <w:rPr>
          <w:rFonts w:ascii="Calibri" w:eastAsia="SimSun" w:hAnsi="Calibri"/>
          <w:color w:val="000000" w:themeColor="text1"/>
          <w:lang w:eastAsia="zh-TW"/>
        </w:rPr>
        <w:t>ODE</w:t>
      </w:r>
      <w:r>
        <w:rPr>
          <w:rFonts w:ascii="Calibri" w:eastAsia="SimSun" w:hAnsi="Calibri" w:hint="eastAsia"/>
          <w:color w:val="000000" w:themeColor="text1"/>
          <w:lang w:eastAsia="zh-TW"/>
        </w:rPr>
        <w:t>必須每六年審查一次成果目標，並讓主要合作夥伴參與制定新的目標。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目前正在尋求與必須建立目標的指標相關的回饋，並將於</w:t>
      </w:r>
      <w:r>
        <w:rPr>
          <w:rFonts w:ascii="Calibri" w:eastAsia="SimSun" w:hAnsi="Calibri"/>
          <w:color w:val="000000" w:themeColor="text1"/>
          <w:lang w:eastAsia="zh-TW"/>
        </w:rPr>
        <w:t>2021</w:t>
      </w:r>
      <w:r>
        <w:rPr>
          <w:rFonts w:ascii="Calibri" w:eastAsia="SimSun" w:hAnsi="Calibri" w:hint="eastAsia"/>
          <w:color w:val="000000" w:themeColor="text1"/>
          <w:lang w:eastAsia="zh-TW"/>
        </w:rPr>
        <w:t>年</w:t>
      </w:r>
      <w:r>
        <w:rPr>
          <w:rFonts w:ascii="Calibri" w:eastAsia="SimSun" w:hAnsi="Calibri"/>
          <w:color w:val="000000" w:themeColor="text1"/>
          <w:lang w:eastAsia="zh-TW"/>
        </w:rPr>
        <w:t>12</w:t>
      </w:r>
      <w:r>
        <w:rPr>
          <w:rFonts w:ascii="Calibri" w:eastAsia="SimSun" w:hAnsi="Calibri" w:hint="eastAsia"/>
          <w:color w:val="000000" w:themeColor="text1"/>
          <w:lang w:eastAsia="zh-TW"/>
        </w:rPr>
        <w:t>月舉行公開回饋會議，討論與該指標相關的資料。請參閱</w:t>
      </w:r>
      <w:hyperlink r:id="rId11">
        <w:r>
          <w:rPr>
            <w:rStyle w:val="Hyperlink"/>
            <w:rFonts w:ascii="Calibri" w:eastAsia="SimSun" w:hAnsi="Calibri"/>
            <w:lang w:eastAsia="zh-TW"/>
          </w:rPr>
          <w:t>ODE</w:t>
        </w:r>
        <w:r>
          <w:rPr>
            <w:rStyle w:val="Hyperlink"/>
            <w:rFonts w:ascii="Calibri" w:eastAsia="SimSun" w:hAnsi="Calibri" w:hint="eastAsia"/>
            <w:lang w:eastAsia="zh-TW"/>
          </w:rPr>
          <w:t>州特殊教育績效計畫和年度報告網頁</w:t>
        </w:r>
      </w:hyperlink>
      <w:r>
        <w:rPr>
          <w:rFonts w:ascii="Calibri" w:eastAsia="SimSun" w:hAnsi="Calibri" w:hint="eastAsia"/>
          <w:color w:val="000000" w:themeColor="text1"/>
          <w:lang w:eastAsia="zh-TW"/>
        </w:rPr>
        <w:t>，獲取更多資訊並註冊公共回饋會議。您也可以通過以下方式，在不參加會議的情況下提供回饋：</w:t>
      </w:r>
      <w:hyperlink r:id="rId12">
        <w:r>
          <w:rPr>
            <w:rStyle w:val="Hyperlink"/>
            <w:rFonts w:ascii="Calibri" w:eastAsia="SimSun" w:hAnsi="Calibri" w:hint="eastAsia"/>
            <w:lang w:eastAsia="zh-TW"/>
          </w:rPr>
          <w:t>調查連結</w:t>
        </w:r>
      </w:hyperlink>
      <w:r>
        <w:rPr>
          <w:rFonts w:hint="eastAsia"/>
          <w:lang w:eastAsia="zh-TW"/>
        </w:rPr>
        <w:t>。</w:t>
      </w:r>
      <w:r w:rsidR="003931A2">
        <w:rPr>
          <w:rFonts w:ascii="Calibri" w:eastAsia="SimSun" w:hAnsi="Calibri" w:hint="eastAsia"/>
          <w:color w:val="000000" w:themeColor="text1"/>
          <w:lang w:eastAsia="zh-TW"/>
        </w:rPr>
        <w:t xml:space="preserve"> </w:t>
      </w:r>
    </w:p>
    <w:p w14:paraId="4B73E1C3" w14:textId="7742ADA3" w:rsidR="000E4FA0" w:rsidRPr="004F6C8F" w:rsidRDefault="000541EB" w:rsidP="001010B9">
      <w:pPr>
        <w:pStyle w:val="Heading1"/>
        <w:rPr>
          <w:rFonts w:asciiTheme="minorHAnsi" w:hAnsiTheme="minorHAnsi" w:cstheme="minorBidi"/>
          <w:b/>
          <w:bCs/>
          <w:color w:val="1B75BC"/>
        </w:rPr>
      </w:pPr>
      <w:r>
        <w:rPr>
          <w:rFonts w:asciiTheme="minorHAnsi" w:hAnsiTheme="minorHAnsi" w:hint="eastAsia"/>
          <w:b/>
          <w:bCs/>
          <w:color w:val="1B75BC"/>
          <w:lang w:eastAsia="zh-TW"/>
        </w:rPr>
        <w:t>指標會衡量什麼，為什麼重要？</w:t>
      </w:r>
    </w:p>
    <w:p w14:paraId="7556F5CC" w14:textId="58022E86" w:rsidR="0B99F1C1" w:rsidRDefault="000541EB" w:rsidP="00D762C9">
      <w:pPr>
        <w:spacing w:after="0"/>
        <w:rPr>
          <w:rFonts w:ascii="Calibri" w:eastAsia="SimSun" w:hAnsi="Calibri" w:cs="Calibri"/>
          <w:color w:val="000000" w:themeColor="text1"/>
          <w:lang w:eastAsia="zh-TW"/>
        </w:rPr>
      </w:pPr>
      <w:r>
        <w:rPr>
          <w:rFonts w:hint="eastAsia"/>
          <w:lang w:eastAsia="zh-TW"/>
        </w:rPr>
        <w:t>指標</w:t>
      </w:r>
      <w:r>
        <w:rPr>
          <w:lang w:eastAsia="zh-TW"/>
        </w:rPr>
        <w:t>B4</w:t>
      </w:r>
      <w:r>
        <w:rPr>
          <w:rFonts w:hint="eastAsia"/>
          <w:lang w:eastAsia="zh-TW"/>
        </w:rPr>
        <w:t>分為兩類。指標</w:t>
      </w:r>
      <w:r>
        <w:rPr>
          <w:lang w:eastAsia="zh-TW"/>
        </w:rPr>
        <w:t>B4A</w:t>
      </w:r>
      <w:r>
        <w:rPr>
          <w:rFonts w:hint="eastAsia"/>
          <w:lang w:eastAsia="zh-TW"/>
        </w:rPr>
        <w:t>是一個績效指標，通過測量</w:t>
      </w:r>
      <w:r>
        <w:rPr>
          <w:lang w:eastAsia="zh-TW"/>
        </w:rPr>
        <w:t>IEP</w:t>
      </w:r>
      <w:r>
        <w:rPr>
          <w:rFonts w:hint="eastAsia"/>
          <w:lang w:eastAsia="zh-TW"/>
        </w:rPr>
        <w:t>（個性化教育計畫）兒童在一學年中停學和退學時間超過</w:t>
      </w:r>
      <w:r>
        <w:rPr>
          <w:lang w:eastAsia="zh-TW"/>
        </w:rPr>
        <w:t>10</w:t>
      </w:r>
      <w:r>
        <w:rPr>
          <w:rFonts w:hint="eastAsia"/>
          <w:lang w:eastAsia="zh-TW"/>
        </w:rPr>
        <w:t>天的地區百分比，實現在限制最少的環境（</w:t>
      </w:r>
      <w:r>
        <w:rPr>
          <w:lang w:eastAsia="zh-TW"/>
        </w:rPr>
        <w:t>LRE</w:t>
      </w:r>
      <w:r>
        <w:rPr>
          <w:rFonts w:hint="eastAsia"/>
          <w:lang w:eastAsia="zh-TW"/>
        </w:rPr>
        <w:t>）中解決免費適當公共教育（</w:t>
      </w:r>
      <w:r>
        <w:rPr>
          <w:lang w:eastAsia="zh-TW"/>
        </w:rPr>
        <w:t>FAPE</w:t>
      </w:r>
      <w:r>
        <w:rPr>
          <w:rFonts w:hint="eastAsia"/>
          <w:lang w:eastAsia="zh-TW"/>
        </w:rPr>
        <w:t>）問題。指標</w:t>
      </w:r>
      <w:r>
        <w:rPr>
          <w:lang w:eastAsia="zh-TW"/>
        </w:rPr>
        <w:t xml:space="preserve"> B4B </w:t>
      </w:r>
      <w:r>
        <w:rPr>
          <w:rFonts w:hint="eastAsia"/>
          <w:lang w:eastAsia="zh-TW"/>
        </w:rPr>
        <w:t>衡量按種族</w:t>
      </w:r>
      <w:r>
        <w:rPr>
          <w:lang w:eastAsia="zh-TW"/>
        </w:rPr>
        <w:t>/</w:t>
      </w:r>
      <w:r>
        <w:rPr>
          <w:rFonts w:hint="eastAsia"/>
          <w:lang w:eastAsia="zh-TW"/>
        </w:rPr>
        <w:t>族裔劃分的停學率和開除率，是一個合規指標，要求目標為</w:t>
      </w:r>
      <w:r>
        <w:rPr>
          <w:lang w:eastAsia="zh-TW"/>
        </w:rPr>
        <w:t xml:space="preserve"> 0%</w:t>
      </w:r>
      <w:r>
        <w:rPr>
          <w:rFonts w:hint="eastAsia"/>
          <w:lang w:eastAsia="zh-TW"/>
        </w:rPr>
        <w:t>。</w:t>
      </w:r>
      <w:r>
        <w:rPr>
          <w:rFonts w:ascii="Calibri" w:eastAsia="SimSun" w:hAnsi="Calibri" w:hint="eastAsia"/>
          <w:color w:val="000000" w:themeColor="text1"/>
          <w:lang w:eastAsia="zh-TW"/>
        </w:rPr>
        <w:t>指標</w:t>
      </w:r>
      <w:r>
        <w:rPr>
          <w:rFonts w:ascii="Calibri" w:eastAsia="SimSun" w:hAnsi="Calibri"/>
          <w:color w:val="000000" w:themeColor="text1"/>
          <w:lang w:eastAsia="zh-TW"/>
        </w:rPr>
        <w:t>B4</w:t>
      </w:r>
      <w:r>
        <w:rPr>
          <w:rFonts w:ascii="Calibri" w:eastAsia="SimSun" w:hAnsi="Calibri" w:hint="eastAsia"/>
          <w:color w:val="000000" w:themeColor="text1"/>
          <w:lang w:eastAsia="zh-TW"/>
        </w:rPr>
        <w:t>是一個重要的公平指標，它將殘疾兒童的停學</w:t>
      </w:r>
      <w:r>
        <w:rPr>
          <w:rFonts w:ascii="Calibri" w:eastAsia="SimSun" w:hAnsi="Calibri"/>
          <w:color w:val="000000" w:themeColor="text1"/>
          <w:lang w:eastAsia="zh-TW"/>
        </w:rPr>
        <w:t>/</w:t>
      </w:r>
      <w:r>
        <w:rPr>
          <w:rFonts w:ascii="Calibri" w:eastAsia="SimSun" w:hAnsi="Calibri" w:hint="eastAsia"/>
          <w:color w:val="000000" w:themeColor="text1"/>
          <w:lang w:eastAsia="zh-TW"/>
        </w:rPr>
        <w:t>開除率與區級非殘疾兒童的停學</w:t>
      </w:r>
      <w:r>
        <w:rPr>
          <w:rFonts w:ascii="Calibri" w:eastAsia="SimSun" w:hAnsi="Calibri"/>
          <w:color w:val="000000" w:themeColor="text1"/>
          <w:lang w:eastAsia="zh-TW"/>
        </w:rPr>
        <w:t>/</w:t>
      </w:r>
      <w:r>
        <w:rPr>
          <w:rFonts w:ascii="Calibri" w:eastAsia="SimSun" w:hAnsi="Calibri" w:hint="eastAsia"/>
          <w:color w:val="000000" w:themeColor="text1"/>
          <w:lang w:eastAsia="zh-TW"/>
        </w:rPr>
        <w:t>開除率進行比較。它表明了俄勒岡州在不使用排他性紀律的情況下教育殘疾兒童的能力。</w:t>
      </w:r>
    </w:p>
    <w:p w14:paraId="21AABC0C" w14:textId="1F0D7EF6" w:rsidR="6CBDC2CC" w:rsidRPr="004F6C8F" w:rsidRDefault="000541EB" w:rsidP="594D45D0">
      <w:pPr>
        <w:pStyle w:val="Heading1"/>
        <w:rPr>
          <w:rFonts w:asciiTheme="minorHAnsi" w:hAnsiTheme="minorHAnsi" w:cstheme="minorBidi"/>
          <w:b/>
          <w:bCs/>
          <w:color w:val="1B75BC"/>
        </w:rPr>
      </w:pPr>
      <w:r>
        <w:rPr>
          <w:rFonts w:asciiTheme="minorHAnsi" w:hAnsiTheme="minorHAnsi" w:hint="eastAsia"/>
          <w:b/>
          <w:bCs/>
          <w:color w:val="1B75BC"/>
          <w:lang w:eastAsia="zh-TW"/>
        </w:rPr>
        <w:t>指標</w:t>
      </w:r>
      <w:r>
        <w:rPr>
          <w:rFonts w:asciiTheme="minorHAnsi" w:hAnsiTheme="minorHAnsi"/>
          <w:b/>
          <w:bCs/>
          <w:color w:val="1B75BC"/>
          <w:lang w:eastAsia="zh-TW"/>
        </w:rPr>
        <w:t>4</w:t>
      </w:r>
      <w:r>
        <w:rPr>
          <w:rFonts w:asciiTheme="minorHAnsi" w:hAnsiTheme="minorHAnsi" w:hint="eastAsia"/>
          <w:b/>
          <w:bCs/>
          <w:color w:val="1B75BC"/>
          <w:lang w:eastAsia="zh-TW"/>
        </w:rPr>
        <w:t>的資料來源是什麼？</w:t>
      </w:r>
    </w:p>
    <w:p w14:paraId="547500C5" w14:textId="46650721" w:rsidR="0D0A4BA7" w:rsidRDefault="000541EB" w:rsidP="1B7C5E0B">
      <w:pPr>
        <w:rPr>
          <w:color w:val="000000" w:themeColor="text1"/>
          <w:lang w:eastAsia="zh-TW"/>
        </w:rPr>
      </w:pPr>
      <w:r>
        <w:rPr>
          <w:rFonts w:hint="eastAsia"/>
          <w:color w:val="000000" w:themeColor="text1"/>
          <w:lang w:eastAsia="zh-TW"/>
        </w:rPr>
        <w:t>指示器</w:t>
      </w:r>
      <w:r>
        <w:rPr>
          <w:color w:val="000000" w:themeColor="text1"/>
          <w:lang w:eastAsia="zh-TW"/>
        </w:rPr>
        <w:t>B4(B4A</w:t>
      </w:r>
      <w:r>
        <w:rPr>
          <w:rFonts w:hint="eastAsia"/>
          <w:color w:val="000000" w:themeColor="text1"/>
          <w:lang w:eastAsia="zh-TW"/>
        </w:rPr>
        <w:t>和</w:t>
      </w:r>
      <w:r>
        <w:rPr>
          <w:color w:val="000000" w:themeColor="text1"/>
          <w:lang w:eastAsia="zh-TW"/>
        </w:rPr>
        <w:t>B4B)</w:t>
      </w:r>
      <w:r>
        <w:rPr>
          <w:rFonts w:hint="eastAsia"/>
          <w:color w:val="000000" w:themeColor="text1"/>
          <w:lang w:eastAsia="zh-TW"/>
        </w:rPr>
        <w:t>使用州學科資料，包括州對根據</w:t>
      </w:r>
      <w:r>
        <w:rPr>
          <w:color w:val="000000" w:themeColor="text1"/>
          <w:lang w:eastAsia="zh-TW"/>
        </w:rPr>
        <w:t>IDEA</w:t>
      </w:r>
      <w:r>
        <w:rPr>
          <w:rFonts w:hint="eastAsia"/>
          <w:color w:val="000000" w:themeColor="text1"/>
          <w:lang w:eastAsia="zh-TW"/>
        </w:rPr>
        <w:t>部分</w:t>
      </w:r>
      <w:r>
        <w:rPr>
          <w:color w:val="000000" w:themeColor="text1"/>
          <w:lang w:eastAsia="zh-TW"/>
        </w:rPr>
        <w:t>618</w:t>
      </w:r>
      <w:r>
        <w:rPr>
          <w:rFonts w:hint="eastAsia"/>
          <w:color w:val="000000" w:themeColor="text1"/>
          <w:lang w:eastAsia="zh-TW"/>
        </w:rPr>
        <w:t>收集的州學科資料的分析。差異可以通過比較《殘疾人法》內患有殘疾兒童的停學和開除率與非殘疾兒童的停學和開除率來計算，也可以通過比較該州各《殘疾人法》內患有殘疾兒童的停學和開除率來計算。在俄勒岡州，這一資料是通過將</w:t>
      </w:r>
      <w:r>
        <w:rPr>
          <w:color w:val="000000" w:themeColor="text1"/>
          <w:lang w:eastAsia="zh-TW"/>
        </w:rPr>
        <w:t>IEPs</w:t>
      </w:r>
      <w:r>
        <w:rPr>
          <w:rFonts w:hint="eastAsia"/>
          <w:color w:val="000000" w:themeColor="text1"/>
          <w:lang w:eastAsia="zh-TW"/>
        </w:rPr>
        <w:t>兒童的停職和開除率與</w:t>
      </w:r>
      <w:r>
        <w:rPr>
          <w:color w:val="000000" w:themeColor="text1"/>
          <w:lang w:eastAsia="zh-TW"/>
        </w:rPr>
        <w:t>LEA</w:t>
      </w:r>
      <w:r>
        <w:rPr>
          <w:rFonts w:hint="eastAsia"/>
          <w:color w:val="000000" w:themeColor="text1"/>
          <w:lang w:eastAsia="zh-TW"/>
        </w:rPr>
        <w:t>內非殘疾兒童的比率進行比較來計算的。</w:t>
      </w:r>
    </w:p>
    <w:p w14:paraId="397FDAF9" w14:textId="28CFD9DD" w:rsidR="001010B9" w:rsidRPr="004F6C8F" w:rsidRDefault="000541EB" w:rsidP="001010B9">
      <w:pPr>
        <w:pStyle w:val="Heading1"/>
        <w:rPr>
          <w:rFonts w:asciiTheme="minorHAnsi" w:hAnsiTheme="minorHAnsi" w:cstheme="minorBidi"/>
          <w:b/>
          <w:bCs/>
          <w:color w:val="1B75BC"/>
        </w:rPr>
      </w:pPr>
      <w:r>
        <w:rPr>
          <w:rFonts w:asciiTheme="minorHAnsi" w:hAnsiTheme="minorHAnsi" w:hint="eastAsia"/>
          <w:b/>
          <w:bCs/>
          <w:color w:val="1B75BC"/>
          <w:lang w:eastAsia="zh-TW"/>
        </w:rPr>
        <w:t>是否需要為該指標設置或重置基本線？</w:t>
      </w:r>
    </w:p>
    <w:p w14:paraId="26E510EF" w14:textId="38260A4C" w:rsidR="001010B9" w:rsidRPr="003931A2" w:rsidRDefault="000541EB" w:rsidP="003931A2">
      <w:r>
        <w:rPr>
          <w:rFonts w:hint="eastAsia"/>
          <w:lang w:eastAsia="zh-TW"/>
        </w:rPr>
        <w:t>是的，</w:t>
      </w:r>
      <w:r>
        <w:rPr>
          <w:lang w:eastAsia="zh-TW"/>
        </w:rPr>
        <w:t xml:space="preserve">ODE </w:t>
      </w:r>
      <w:r>
        <w:rPr>
          <w:rFonts w:hint="eastAsia"/>
          <w:lang w:eastAsia="zh-TW"/>
        </w:rPr>
        <w:t>建議使用最近制定的目標（</w:t>
      </w:r>
      <w:r>
        <w:rPr>
          <w:lang w:eastAsia="zh-TW"/>
        </w:rPr>
        <w:t>62.00%</w:t>
      </w:r>
      <w:r>
        <w:rPr>
          <w:rFonts w:hint="eastAsia"/>
          <w:lang w:eastAsia="zh-TW"/>
        </w:rPr>
        <w:t>，</w:t>
      </w:r>
      <w:r>
        <w:rPr>
          <w:lang w:eastAsia="zh-TW"/>
        </w:rPr>
        <w:t xml:space="preserve">2019 </w:t>
      </w:r>
      <w:r>
        <w:rPr>
          <w:rFonts w:hint="eastAsia"/>
          <w:lang w:eastAsia="zh-TW"/>
        </w:rPr>
        <w:t>年）作為</w:t>
      </w:r>
      <w:r>
        <w:rPr>
          <w:lang w:eastAsia="zh-TW"/>
        </w:rPr>
        <w:t xml:space="preserve"> 2020-2025 </w:t>
      </w:r>
      <w:r>
        <w:rPr>
          <w:rFonts w:hint="eastAsia"/>
          <w:lang w:eastAsia="zh-TW"/>
        </w:rPr>
        <w:t>年國家績效計畫的該指標的新基線。</w:t>
      </w:r>
    </w:p>
    <w:p w14:paraId="0A61ADA5" w14:textId="2BA4C2B0" w:rsidR="00C06C4E" w:rsidRPr="004F6C8F" w:rsidRDefault="000541EB" w:rsidP="0E16BC08">
      <w:pPr>
        <w:pStyle w:val="Heading1"/>
        <w:spacing w:after="120"/>
        <w:rPr>
          <w:rFonts w:asciiTheme="minorHAnsi" w:hAnsiTheme="minorHAnsi" w:cstheme="minorBidi"/>
          <w:b/>
          <w:bCs/>
          <w:color w:val="1B75BC"/>
        </w:rPr>
      </w:pPr>
      <w:r>
        <w:rPr>
          <w:rFonts w:asciiTheme="minorHAnsi" w:hAnsiTheme="minorHAnsi" w:hint="eastAsia"/>
          <w:b/>
          <w:bCs/>
          <w:color w:val="1B75BC"/>
          <w:lang w:eastAsia="zh-TW"/>
        </w:rPr>
        <w:lastRenderedPageBreak/>
        <w:t>俄勒岡州隨著時間的推移表現如何？</w:t>
      </w:r>
    </w:p>
    <w:p w14:paraId="206EE662" w14:textId="7B1CBA5C" w:rsidR="00D762C9" w:rsidRDefault="00DE49CF" w:rsidP="005A7631">
      <w:pPr>
        <w:jc w:val="center"/>
        <w:rPr>
          <w:rFonts w:ascii="Arial" w:eastAsia="SimSun" w:hAnsi="Arial" w:cs="Arial"/>
          <w:b/>
          <w:bCs/>
          <w:color w:val="000000" w:themeColor="text1"/>
          <w:sz w:val="16"/>
          <w:szCs w:val="16"/>
        </w:rPr>
      </w:pPr>
      <w:r>
        <w:rPr>
          <w:rFonts w:hint="eastAsia"/>
          <w:noProof/>
          <w:lang w:eastAsia="en-US"/>
        </w:rPr>
        <mc:AlternateContent>
          <mc:Choice Requires="wps">
            <w:drawing>
              <wp:anchor distT="0" distB="0" distL="114300" distR="114300" simplePos="0" relativeHeight="251661312" behindDoc="0" locked="0" layoutInCell="1" allowOverlap="1" wp14:anchorId="41CC8100" wp14:editId="57049F25">
                <wp:simplePos x="0" y="0"/>
                <wp:positionH relativeFrom="column">
                  <wp:posOffset>1156914</wp:posOffset>
                </wp:positionH>
                <wp:positionV relativeFrom="paragraph">
                  <wp:posOffset>819785</wp:posOffset>
                </wp:positionV>
                <wp:extent cx="1144270" cy="683895"/>
                <wp:effectExtent l="0" t="0" r="17780" b="20955"/>
                <wp:wrapNone/>
                <wp:docPr id="5" name="Rectangle 4"/>
                <wp:cNvGraphicFramePr/>
                <a:graphic xmlns:a="http://schemas.openxmlformats.org/drawingml/2006/main">
                  <a:graphicData uri="http://schemas.microsoft.com/office/word/2010/wordprocessingShape">
                    <wps:wsp>
                      <wps:cNvSpPr/>
                      <wps:spPr>
                        <a:xfrm>
                          <a:off x="0" y="0"/>
                          <a:ext cx="1144270" cy="683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BF4B7" w14:textId="4E8C0EAD" w:rsidR="00800630" w:rsidRPr="00800630" w:rsidRDefault="000541EB" w:rsidP="00800630">
                            <w:pPr>
                              <w:pStyle w:val="NormalWeb"/>
                              <w:spacing w:before="0" w:beforeAutospacing="0" w:after="0" w:afterAutospacing="0"/>
                              <w:jc w:val="center"/>
                              <w:rPr>
                                <w:sz w:val="20"/>
                              </w:rPr>
                            </w:pPr>
                            <w:r>
                              <w:rPr>
                                <w:rFonts w:asciiTheme="minorHAnsi" w:hAnsi="Calibri" w:hint="eastAsia"/>
                                <w:color w:val="FFFFFF" w:themeColor="light1"/>
                                <w:sz w:val="18"/>
                                <w:szCs w:val="22"/>
                                <w:lang w:eastAsia="zh-TW"/>
                              </w:rPr>
                              <w:t>這些百分比是使用所有地區計算的，無論</w:t>
                            </w:r>
                            <w:r>
                              <w:rPr>
                                <w:rFonts w:asciiTheme="minorHAnsi" w:hAnsi="Calibri"/>
                                <w:color w:val="FFFFFF" w:themeColor="light1"/>
                                <w:sz w:val="18"/>
                                <w:szCs w:val="22"/>
                                <w:lang w:eastAsia="zh-TW"/>
                              </w:rPr>
                              <w:t>n</w:t>
                            </w:r>
                            <w:r>
                              <w:rPr>
                                <w:rFonts w:asciiTheme="minorHAnsi" w:hAnsi="Calibri" w:hint="eastAsia"/>
                                <w:color w:val="FFFFFF" w:themeColor="light1"/>
                                <w:sz w:val="18"/>
                                <w:szCs w:val="22"/>
                                <w:lang w:eastAsia="zh-TW"/>
                              </w:rPr>
                              <w:t>大小。</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C8100" id="Rectangle 4" o:spid="_x0000_s1026" style="position:absolute;left:0;text-align:left;margin-left:91.1pt;margin-top:64.55pt;width:90.1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" fillcolor="#4472c4 [3204]" strokecolor="#1f3763 [1604]" strokeweight="1pt">
                <v:textbox>
                  <w:txbxContent>
                    <w:p w14:paraId="2D0BF4B7" w14:textId="4E8C0EAD" w:rsidR="00800630" w:rsidRPr="00800630" w:rsidRDefault="000541EB" w:rsidP="00800630">
                      <w:pPr>
                        <w:pStyle w:val="af3"/>
                        <w:spacing w:before="0" w:beforeAutospacing="0" w:after="0" w:afterAutospacing="0"/>
                        <w:jc w:val="center"/>
                        <w:rPr>
                          <w:sz w:val="20"/>
                        </w:rPr>
                      </w:pPr>
                      <w:r>
                        <w:rPr>
                          <w:rFonts w:asciiTheme="minorHAnsi" w:hAnsi="Calibri" w:hint="eastAsia"/>
                          <w:color w:val="FFFFFF" w:themeColor="light1"/>
                          <w:sz w:val="18"/>
                          <w:szCs w:val="22"/>
                          <w:lang w:eastAsia="zh-TW"/>
                        </w:rPr>
                        <w:t>這些百分比是使用所有地區計算的，無論</w:t>
                      </w:r>
                      <w:r>
                        <w:rPr>
                          <w:rFonts w:asciiTheme="minorHAnsi" w:hAnsi="Calibri"/>
                          <w:color w:val="FFFFFF" w:themeColor="light1"/>
                          <w:sz w:val="18"/>
                          <w:szCs w:val="22"/>
                          <w:lang w:eastAsia="zh-TW"/>
                        </w:rPr>
                        <w:t>n</w:t>
                      </w:r>
                      <w:r>
                        <w:rPr>
                          <w:rFonts w:asciiTheme="minorHAnsi" w:hAnsi="Calibri" w:hint="eastAsia"/>
                          <w:color w:val="FFFFFF" w:themeColor="light1"/>
                          <w:sz w:val="18"/>
                          <w:szCs w:val="22"/>
                          <w:lang w:eastAsia="zh-TW"/>
                        </w:rPr>
                        <w:t>大小。</w:t>
                      </w:r>
                    </w:p>
                  </w:txbxContent>
                </v:textbox>
              </v:rect>
            </w:pict>
          </mc:Fallback>
        </mc:AlternateContent>
      </w:r>
      <w:r>
        <w:rPr>
          <w:rFonts w:ascii="Arial" w:eastAsia="SimSun" w:hAnsi="Arial" w:hint="eastAsia"/>
          <w:b/>
          <w:bCs/>
          <w:noProof/>
          <w:color w:val="000000" w:themeColor="text1"/>
          <w:sz w:val="16"/>
          <w:szCs w:val="16"/>
          <w:lang w:eastAsia="en-US"/>
        </w:rPr>
        <mc:AlternateContent>
          <mc:Choice Requires="wps">
            <w:drawing>
              <wp:anchor distT="0" distB="0" distL="114300" distR="114300" simplePos="0" relativeHeight="251659264" behindDoc="0" locked="0" layoutInCell="1" allowOverlap="1" wp14:anchorId="51424591" wp14:editId="26862874">
                <wp:simplePos x="0" y="0"/>
                <wp:positionH relativeFrom="column">
                  <wp:posOffset>2784580</wp:posOffset>
                </wp:positionH>
                <wp:positionV relativeFrom="paragraph">
                  <wp:posOffset>470535</wp:posOffset>
                </wp:positionV>
                <wp:extent cx="0" cy="2322195"/>
                <wp:effectExtent l="0" t="0" r="19050" b="20955"/>
                <wp:wrapNone/>
                <wp:docPr id="3" name="Straight Connector 3" descr="This is a vertical line on top of the graph showing Oregon's statewide targets and actual data for Indicator B4A. The line sits in a gap in the data between 2015 and 2016, representing a change in the baseline data Oregon uses for indicator B4A." title="Phase Change Line"/>
                <wp:cNvGraphicFramePr/>
                <a:graphic xmlns:a="http://schemas.openxmlformats.org/drawingml/2006/main">
                  <a:graphicData uri="http://schemas.microsoft.com/office/word/2010/wordprocessingShape">
                    <wps:wsp>
                      <wps:cNvCnPr/>
                      <wps:spPr>
                        <a:xfrm>
                          <a:off x="0" y="0"/>
                          <a:ext cx="0" cy="2322195"/>
                        </a:xfrm>
                        <a:prstGeom prst="line">
                          <a:avLst/>
                        </a:prstGeom>
                        <a:ln w="19050" cap="flat" cmpd="sng" algn="ctr">
                          <a:solidFill>
                            <a:srgbClr val="1B75BC"/>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Phase Change Line - Description: This is a vertical line on top of the graph showing Oregon's statewide targets and actual data for Indicator B4A. The line sits in a gap in the data between 2015 and 2016, representing a change in the baseline data Oregon uses for indicator B4A." o:spid="_x0000_s1026" strokecolor="#1b75bc" strokeweight="1.5pt" from="219.25pt,37.05pt" to="219.25pt,219.9pt" w14:anchorId="27515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"/>
            </w:pict>
          </mc:Fallback>
        </mc:AlternateContent>
      </w:r>
      <w:r>
        <w:rPr>
          <w:rFonts w:hint="eastAsia"/>
          <w:noProof/>
          <w:lang w:eastAsia="en-US"/>
        </w:rPr>
        <mc:AlternateContent>
          <mc:Choice Requires="wps">
            <w:drawing>
              <wp:anchor distT="0" distB="0" distL="114300" distR="114300" simplePos="0" relativeHeight="251663360" behindDoc="0" locked="0" layoutInCell="1" allowOverlap="1" wp14:anchorId="5266A3E6" wp14:editId="18265602">
                <wp:simplePos x="0" y="0"/>
                <wp:positionH relativeFrom="column">
                  <wp:posOffset>3486746</wp:posOffset>
                </wp:positionH>
                <wp:positionV relativeFrom="paragraph">
                  <wp:posOffset>1818332</wp:posOffset>
                </wp:positionV>
                <wp:extent cx="1470792" cy="819150"/>
                <wp:effectExtent l="0" t="0" r="15240" b="19050"/>
                <wp:wrapNone/>
                <wp:docPr id="6" name="Rectangle 5"/>
                <wp:cNvGraphicFramePr/>
                <a:graphic xmlns:a="http://schemas.openxmlformats.org/drawingml/2006/main">
                  <a:graphicData uri="http://schemas.microsoft.com/office/word/2010/wordprocessingShape">
                    <wps:wsp>
                      <wps:cNvSpPr/>
                      <wps:spPr>
                        <a:xfrm>
                          <a:off x="0" y="0"/>
                          <a:ext cx="1470792"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C6622" w14:textId="01AC9787" w:rsidR="00800630" w:rsidRDefault="000541EB" w:rsidP="00800630">
                            <w:pPr>
                              <w:pStyle w:val="NormalWeb"/>
                              <w:spacing w:before="0" w:beforeAutospacing="0" w:after="0" w:afterAutospacing="0"/>
                              <w:jc w:val="center"/>
                            </w:pPr>
                            <w:r>
                              <w:rPr>
                                <w:rFonts w:asciiTheme="minorHAnsi" w:hAnsi="Calibri"/>
                                <w:color w:val="FFFFFF" w:themeColor="light1"/>
                                <w:sz w:val="22"/>
                                <w:szCs w:val="22"/>
                                <w:lang w:eastAsia="zh-TW"/>
                              </w:rPr>
                              <w:t>2016</w:t>
                            </w:r>
                            <w:r>
                              <w:rPr>
                                <w:rFonts w:asciiTheme="minorHAnsi" w:hAnsi="Calibri" w:hint="eastAsia"/>
                                <w:color w:val="FFFFFF" w:themeColor="light1"/>
                                <w:sz w:val="22"/>
                                <w:szCs w:val="22"/>
                                <w:lang w:eastAsia="zh-TW"/>
                              </w:rPr>
                              <w:t>年，</w:t>
                            </w:r>
                            <w:r>
                              <w:rPr>
                                <w:rFonts w:asciiTheme="minorHAnsi" w:hAnsi="Calibri"/>
                                <w:color w:val="FFFFFF" w:themeColor="light1"/>
                                <w:sz w:val="22"/>
                                <w:szCs w:val="22"/>
                                <w:lang w:eastAsia="zh-TW"/>
                              </w:rPr>
                              <w:t>ODE</w:t>
                            </w:r>
                            <w:r>
                              <w:rPr>
                                <w:rFonts w:asciiTheme="minorHAnsi" w:hAnsi="Calibri" w:hint="eastAsia"/>
                                <w:color w:val="FFFFFF" w:themeColor="light1"/>
                                <w:sz w:val="22"/>
                                <w:szCs w:val="22"/>
                                <w:lang w:eastAsia="zh-TW"/>
                              </w:rPr>
                              <w:t>建立了一個新的基線來考慮</w:t>
                            </w:r>
                            <w:r>
                              <w:rPr>
                                <w:rFonts w:asciiTheme="minorHAnsi" w:hAnsi="Calibri"/>
                                <w:color w:val="FFFFFF" w:themeColor="light1"/>
                                <w:sz w:val="22"/>
                                <w:szCs w:val="22"/>
                                <w:lang w:eastAsia="zh-TW"/>
                              </w:rPr>
                              <w:t>n</w:t>
                            </w:r>
                            <w:r>
                              <w:rPr>
                                <w:rFonts w:asciiTheme="minorHAnsi" w:hAnsi="Calibri" w:hint="eastAsia"/>
                                <w:color w:val="FFFFFF" w:themeColor="light1"/>
                                <w:sz w:val="22"/>
                                <w:szCs w:val="22"/>
                                <w:lang w:eastAsia="zh-TW"/>
                              </w:rPr>
                              <w:t>大小。</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6A3E6" id="Rectangle 5" o:spid="_x0000_s1027" style="position:absolute;left:0;text-align:left;margin-left:274.55pt;margin-top:143.2pt;width:115.8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" fillcolor="#4472c4 [3204]" strokecolor="#1f3763 [1604]" strokeweight="1pt">
                <v:textbox>
                  <w:txbxContent>
                    <w:p w14:paraId="398C6622" w14:textId="01AC9787" w:rsidR="00800630" w:rsidRDefault="000541EB" w:rsidP="00800630">
                      <w:pPr>
                        <w:pStyle w:val="af3"/>
                        <w:spacing w:before="0" w:beforeAutospacing="0" w:after="0" w:afterAutospacing="0"/>
                        <w:jc w:val="center"/>
                      </w:pPr>
                      <w:r>
                        <w:rPr>
                          <w:rFonts w:asciiTheme="minorHAnsi" w:hAnsi="Calibri"/>
                          <w:color w:val="FFFFFF" w:themeColor="light1"/>
                          <w:sz w:val="22"/>
                          <w:szCs w:val="22"/>
                          <w:lang w:eastAsia="zh-TW"/>
                        </w:rPr>
                        <w:t>2016</w:t>
                      </w:r>
                      <w:r>
                        <w:rPr>
                          <w:rFonts w:asciiTheme="minorHAnsi" w:hAnsi="Calibri" w:hint="eastAsia"/>
                          <w:color w:val="FFFFFF" w:themeColor="light1"/>
                          <w:sz w:val="22"/>
                          <w:szCs w:val="22"/>
                          <w:lang w:eastAsia="zh-TW"/>
                        </w:rPr>
                        <w:t>年，</w:t>
                      </w:r>
                      <w:r>
                        <w:rPr>
                          <w:rFonts w:asciiTheme="minorHAnsi" w:hAnsi="Calibri"/>
                          <w:color w:val="FFFFFF" w:themeColor="light1"/>
                          <w:sz w:val="22"/>
                          <w:szCs w:val="22"/>
                          <w:lang w:eastAsia="zh-TW"/>
                        </w:rPr>
                        <w:t>ODE</w:t>
                      </w:r>
                      <w:r>
                        <w:rPr>
                          <w:rFonts w:asciiTheme="minorHAnsi" w:hAnsi="Calibri" w:hint="eastAsia"/>
                          <w:color w:val="FFFFFF" w:themeColor="light1"/>
                          <w:sz w:val="22"/>
                          <w:szCs w:val="22"/>
                          <w:lang w:eastAsia="zh-TW"/>
                        </w:rPr>
                        <w:t>建立了一個新的基線來考慮</w:t>
                      </w:r>
                      <w:r>
                        <w:rPr>
                          <w:rFonts w:asciiTheme="minorHAnsi" w:hAnsi="Calibri"/>
                          <w:color w:val="FFFFFF" w:themeColor="light1"/>
                          <w:sz w:val="22"/>
                          <w:szCs w:val="22"/>
                          <w:lang w:eastAsia="zh-TW"/>
                        </w:rPr>
                        <w:t>n</w:t>
                      </w:r>
                      <w:r>
                        <w:rPr>
                          <w:rFonts w:asciiTheme="minorHAnsi" w:hAnsi="Calibri" w:hint="eastAsia"/>
                          <w:color w:val="FFFFFF" w:themeColor="light1"/>
                          <w:sz w:val="22"/>
                          <w:szCs w:val="22"/>
                          <w:lang w:eastAsia="zh-TW"/>
                        </w:rPr>
                        <w:t>大小。</w:t>
                      </w:r>
                    </w:p>
                  </w:txbxContent>
                </v:textbox>
              </v:rect>
            </w:pict>
          </mc:Fallback>
        </mc:AlternateContent>
      </w:r>
      <w:r>
        <w:rPr>
          <w:rFonts w:hint="eastAsia"/>
          <w:noProof/>
          <w:lang w:eastAsia="en-US"/>
        </w:rPr>
        <w:drawing>
          <wp:inline distT="0" distB="0" distL="0" distR="0" wp14:anchorId="17E698DF" wp14:editId="296B51DC">
            <wp:extent cx="5315357" cy="3383280"/>
            <wp:effectExtent l="0" t="0" r="0" b="7620"/>
            <wp:docPr id="1" name="Chart 1" descr="This chart shows Oregon's targets and actual statewide data from 2014 - 2019.  There is a gap between 2015 and 2016, with a vertical line to represent two different phases of data. The data on the right side of the line uses the current SPP baseline for Indicator B4B, which was established in 2016." title="Oregon's Indicator B4A (Suspension/Expulsion) 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7915" w:type="dxa"/>
        <w:jc w:val="center"/>
        <w:tblLayout w:type="fixed"/>
        <w:tblLook w:val="04A0" w:firstRow="1" w:lastRow="0" w:firstColumn="1" w:lastColumn="0" w:noHBand="0" w:noVBand="1"/>
        <w:tblCaption w:val="Oregon's Indicator B4B Data"/>
        <w:tblDescription w:val="This table shows the statewide targets and actual data for Oregon for Indicator B4B."/>
      </w:tblPr>
      <w:tblGrid>
        <w:gridCol w:w="989"/>
        <w:gridCol w:w="989"/>
        <w:gridCol w:w="990"/>
        <w:gridCol w:w="989"/>
        <w:gridCol w:w="989"/>
        <w:gridCol w:w="990"/>
        <w:gridCol w:w="989"/>
        <w:gridCol w:w="990"/>
      </w:tblGrid>
      <w:tr w:rsidR="005A7631" w14:paraId="70744F58" w14:textId="77777777" w:rsidTr="00344E90">
        <w:trPr>
          <w:tblHeader/>
          <w:jc w:val="center"/>
        </w:trPr>
        <w:tc>
          <w:tcPr>
            <w:tcW w:w="989" w:type="dxa"/>
          </w:tcPr>
          <w:p w14:paraId="1F0AF2BE" w14:textId="3FB061A2" w:rsidR="005A7631" w:rsidRPr="00B542E4" w:rsidRDefault="000541EB" w:rsidP="00137C0D">
            <w:pPr>
              <w:jc w:val="center"/>
              <w:rPr>
                <w:b/>
              </w:rPr>
            </w:pPr>
            <w:r>
              <w:rPr>
                <w:b/>
                <w:lang w:eastAsia="zh-TW"/>
              </w:rPr>
              <w:t>FFY</w:t>
            </w:r>
          </w:p>
        </w:tc>
        <w:tc>
          <w:tcPr>
            <w:tcW w:w="989" w:type="dxa"/>
          </w:tcPr>
          <w:p w14:paraId="020F2BDC" w14:textId="0FEDBE76" w:rsidR="005A7631" w:rsidRPr="00B542E4" w:rsidRDefault="000541EB" w:rsidP="00137C0D">
            <w:pPr>
              <w:jc w:val="center"/>
              <w:rPr>
                <w:b/>
                <w:bCs/>
              </w:rPr>
            </w:pPr>
            <w:r>
              <w:rPr>
                <w:b/>
                <w:bCs/>
                <w:lang w:eastAsia="zh-TW"/>
              </w:rPr>
              <w:t>2016</w:t>
            </w:r>
          </w:p>
        </w:tc>
        <w:tc>
          <w:tcPr>
            <w:tcW w:w="990" w:type="dxa"/>
            <w:tcBorders>
              <w:right w:val="single" w:sz="4" w:space="0" w:color="auto"/>
            </w:tcBorders>
            <w:shd w:val="clear" w:color="auto" w:fill="auto"/>
          </w:tcPr>
          <w:p w14:paraId="1B123951" w14:textId="4368A991" w:rsidR="005A7631" w:rsidRPr="00DE49CF" w:rsidRDefault="000541EB" w:rsidP="00137C0D">
            <w:pPr>
              <w:jc w:val="center"/>
              <w:rPr>
                <w:b/>
              </w:rPr>
            </w:pPr>
            <w:r>
              <w:rPr>
                <w:b/>
                <w:lang w:eastAsia="zh-TW"/>
              </w:rPr>
              <w:t>2014</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252D9A38" w14:textId="6399B79A" w:rsidR="005A7631" w:rsidRPr="00DE49CF" w:rsidRDefault="000541EB" w:rsidP="00137C0D">
            <w:pPr>
              <w:jc w:val="center"/>
              <w:rPr>
                <w:b/>
              </w:rPr>
            </w:pPr>
            <w:r>
              <w:rPr>
                <w:b/>
                <w:lang w:eastAsia="zh-TW"/>
              </w:rPr>
              <w:t>2015</w:t>
            </w:r>
          </w:p>
        </w:tc>
        <w:tc>
          <w:tcPr>
            <w:tcW w:w="989" w:type="dxa"/>
            <w:tcBorders>
              <w:top w:val="single" w:sz="4" w:space="0" w:color="auto"/>
              <w:left w:val="single" w:sz="18" w:space="0" w:color="1B75BC"/>
              <w:bottom w:val="single" w:sz="4" w:space="0" w:color="auto"/>
              <w:right w:val="single" w:sz="4" w:space="0" w:color="auto"/>
            </w:tcBorders>
          </w:tcPr>
          <w:p w14:paraId="61820CE4" w14:textId="0A2DFF46" w:rsidR="005A7631" w:rsidRPr="00B542E4" w:rsidRDefault="000541EB" w:rsidP="00137C0D">
            <w:pPr>
              <w:jc w:val="center"/>
              <w:rPr>
                <w:b/>
              </w:rPr>
            </w:pPr>
            <w:r>
              <w:rPr>
                <w:b/>
                <w:lang w:eastAsia="zh-TW"/>
              </w:rPr>
              <w:t>2016</w:t>
            </w:r>
          </w:p>
        </w:tc>
        <w:tc>
          <w:tcPr>
            <w:tcW w:w="990" w:type="dxa"/>
            <w:tcBorders>
              <w:left w:val="single" w:sz="4" w:space="0" w:color="auto"/>
            </w:tcBorders>
          </w:tcPr>
          <w:p w14:paraId="553569A8" w14:textId="19CB698F" w:rsidR="005A7631" w:rsidRPr="00B542E4" w:rsidRDefault="000541EB" w:rsidP="00137C0D">
            <w:pPr>
              <w:jc w:val="center"/>
              <w:rPr>
                <w:b/>
              </w:rPr>
            </w:pPr>
            <w:r>
              <w:rPr>
                <w:b/>
                <w:lang w:eastAsia="zh-TW"/>
              </w:rPr>
              <w:t>2017</w:t>
            </w:r>
          </w:p>
        </w:tc>
        <w:tc>
          <w:tcPr>
            <w:tcW w:w="989" w:type="dxa"/>
          </w:tcPr>
          <w:p w14:paraId="7D234245" w14:textId="4AEB9D8C" w:rsidR="005A7631" w:rsidRPr="00B542E4" w:rsidRDefault="000541EB" w:rsidP="00137C0D">
            <w:pPr>
              <w:jc w:val="center"/>
              <w:rPr>
                <w:b/>
              </w:rPr>
            </w:pPr>
            <w:r>
              <w:rPr>
                <w:b/>
                <w:lang w:eastAsia="zh-TW"/>
              </w:rPr>
              <w:t>2018</w:t>
            </w:r>
          </w:p>
        </w:tc>
        <w:tc>
          <w:tcPr>
            <w:tcW w:w="990" w:type="dxa"/>
          </w:tcPr>
          <w:p w14:paraId="4CB25504" w14:textId="6407B6C0" w:rsidR="005A7631" w:rsidRDefault="000541EB" w:rsidP="00137C0D">
            <w:pPr>
              <w:jc w:val="center"/>
              <w:rPr>
                <w:b/>
                <w:bCs/>
              </w:rPr>
            </w:pPr>
            <w:r>
              <w:rPr>
                <w:b/>
                <w:bCs/>
                <w:lang w:eastAsia="zh-TW"/>
              </w:rPr>
              <w:t>2019</w:t>
            </w:r>
          </w:p>
        </w:tc>
      </w:tr>
      <w:tr w:rsidR="005A7631" w14:paraId="0592D3BD" w14:textId="77777777" w:rsidTr="00344E90">
        <w:trPr>
          <w:jc w:val="center"/>
        </w:trPr>
        <w:tc>
          <w:tcPr>
            <w:tcW w:w="989" w:type="dxa"/>
          </w:tcPr>
          <w:p w14:paraId="3914DB74" w14:textId="2F3379E7" w:rsidR="005A7631" w:rsidRDefault="000541EB" w:rsidP="005A7631">
            <w:r>
              <w:rPr>
                <w:rFonts w:hint="eastAsia"/>
                <w:lang w:eastAsia="zh-TW"/>
              </w:rPr>
              <w:t>目標≤</w:t>
            </w:r>
          </w:p>
        </w:tc>
        <w:tc>
          <w:tcPr>
            <w:tcW w:w="989" w:type="dxa"/>
          </w:tcPr>
          <w:p w14:paraId="7033CDF9" w14:textId="5E275C44" w:rsidR="005A7631" w:rsidRPr="00373050" w:rsidRDefault="000541EB" w:rsidP="005A7631">
            <w:pPr>
              <w:jc w:val="center"/>
              <w:rPr>
                <w:i/>
              </w:rPr>
            </w:pPr>
            <w:r>
              <w:rPr>
                <w:rFonts w:hint="eastAsia"/>
                <w:i/>
                <w:lang w:eastAsia="zh-TW"/>
              </w:rPr>
              <w:t>基線</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71CBB0" w14:textId="0236517A" w:rsidR="005A7631" w:rsidRPr="00DE49CF" w:rsidRDefault="000541EB" w:rsidP="005A7631">
            <w:pPr>
              <w:jc w:val="center"/>
            </w:pPr>
            <w:r>
              <w:rPr>
                <w:lang w:eastAsia="zh-TW"/>
              </w:rPr>
              <w:t>7.20%</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3E9FC6BA" w14:textId="536EF3CD" w:rsidR="005A7631" w:rsidRPr="00DE49CF" w:rsidRDefault="000541EB" w:rsidP="005A7631">
            <w:pPr>
              <w:jc w:val="center"/>
            </w:pPr>
            <w:r>
              <w:rPr>
                <w:lang w:eastAsia="zh-TW"/>
              </w:rPr>
              <w:t>6.70%</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1297925C" w14:textId="2B8C932F" w:rsidR="005A7631" w:rsidRDefault="000541EB" w:rsidP="005A7631">
            <w:pPr>
              <w:jc w:val="center"/>
            </w:pPr>
            <w:r>
              <w:rPr>
                <w:lang w:eastAsia="zh-TW"/>
              </w:rPr>
              <w:t>68.65%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D67D28" w14:textId="07C7141F" w:rsidR="005A7631" w:rsidRDefault="000541EB" w:rsidP="005A7631">
            <w:pPr>
              <w:jc w:val="center"/>
            </w:pPr>
            <w:r>
              <w:rPr>
                <w:lang w:eastAsia="zh-TW"/>
              </w:rPr>
              <w:t>68.15%</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E8C480A" w14:textId="03EC5818" w:rsidR="005A7631" w:rsidRDefault="000541EB" w:rsidP="005A7631">
            <w:pPr>
              <w:jc w:val="center"/>
            </w:pPr>
            <w:r>
              <w:rPr>
                <w:lang w:eastAsia="zh-TW"/>
              </w:rPr>
              <w:t>67.65%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B47FAC" w14:textId="1754E6DF" w:rsidR="005A7631" w:rsidRDefault="000541EB" w:rsidP="005A7631">
            <w:pPr>
              <w:jc w:val="center"/>
            </w:pPr>
            <w:r>
              <w:rPr>
                <w:lang w:eastAsia="zh-TW"/>
              </w:rPr>
              <w:t>62.00%</w:t>
            </w:r>
          </w:p>
        </w:tc>
      </w:tr>
      <w:tr w:rsidR="005A7631" w14:paraId="3C801418" w14:textId="77777777" w:rsidTr="00344E90">
        <w:trPr>
          <w:jc w:val="center"/>
        </w:trPr>
        <w:tc>
          <w:tcPr>
            <w:tcW w:w="989" w:type="dxa"/>
          </w:tcPr>
          <w:p w14:paraId="6CD19CA6" w14:textId="6C5DCDFE" w:rsidR="005A7631" w:rsidRDefault="000541EB" w:rsidP="005A7631">
            <w:r>
              <w:rPr>
                <w:rFonts w:hint="eastAsia"/>
                <w:lang w:eastAsia="zh-TW"/>
              </w:rPr>
              <w:t>日期</w:t>
            </w:r>
          </w:p>
        </w:tc>
        <w:tc>
          <w:tcPr>
            <w:tcW w:w="989" w:type="dxa"/>
          </w:tcPr>
          <w:p w14:paraId="407385D7" w14:textId="5A725A69" w:rsidR="005A7631" w:rsidRDefault="000541EB" w:rsidP="005A7631">
            <w:pPr>
              <w:jc w:val="center"/>
            </w:pPr>
            <w:r>
              <w:rPr>
                <w:lang w:eastAsia="zh-TW"/>
              </w:rPr>
              <w:t>62.96%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E2548F" w14:textId="4AAAEC2C" w:rsidR="005A7631" w:rsidRPr="00DE49CF" w:rsidRDefault="000541EB" w:rsidP="005A7631">
            <w:pPr>
              <w:jc w:val="center"/>
            </w:pPr>
            <w:r>
              <w:rPr>
                <w:lang w:eastAsia="zh-TW"/>
              </w:rPr>
              <w:t>13.71%</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47D2C86B" w14:textId="3A65F2D2" w:rsidR="005A7631" w:rsidRPr="00DE49CF" w:rsidRDefault="000541EB" w:rsidP="005A7631">
            <w:pPr>
              <w:jc w:val="center"/>
            </w:pPr>
            <w:r>
              <w:rPr>
                <w:lang w:eastAsia="zh-TW"/>
              </w:rPr>
              <w:t>8.63%</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7C5F7BDF" w14:textId="3BC17C01" w:rsidR="005A7631" w:rsidRDefault="000541EB" w:rsidP="005A7631">
            <w:pPr>
              <w:jc w:val="center"/>
            </w:pPr>
            <w:r>
              <w:rPr>
                <w:lang w:eastAsia="zh-TW"/>
              </w:rPr>
              <w:t>62.96%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201364" w14:textId="22558ECF" w:rsidR="005A7631" w:rsidRDefault="000541EB" w:rsidP="005A7631">
            <w:pPr>
              <w:jc w:val="center"/>
            </w:pPr>
            <w:r>
              <w:rPr>
                <w:lang w:eastAsia="zh-TW"/>
              </w:rPr>
              <w:t>66.67%</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794ED6C" w14:textId="0B0735BE" w:rsidR="005A7631" w:rsidRDefault="000541EB" w:rsidP="005A7631">
            <w:pPr>
              <w:jc w:val="center"/>
            </w:pPr>
            <w:r>
              <w:rPr>
                <w:lang w:eastAsia="zh-TW"/>
              </w:rPr>
              <w:t>53.13%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51915" w14:textId="1DD37D3D" w:rsidR="005A7631" w:rsidRDefault="000541EB" w:rsidP="005A7631">
            <w:pPr>
              <w:jc w:val="center"/>
            </w:pPr>
            <w:r>
              <w:rPr>
                <w:lang w:eastAsia="zh-TW"/>
              </w:rPr>
              <w:t>67.74%</w:t>
            </w:r>
          </w:p>
        </w:tc>
      </w:tr>
    </w:tbl>
    <w:p w14:paraId="57E819B6" w14:textId="05D80AE7" w:rsidR="4BBB7754" w:rsidRPr="004F6C8F" w:rsidRDefault="000541EB" w:rsidP="11458547">
      <w:pPr>
        <w:pStyle w:val="Heading1"/>
        <w:rPr>
          <w:rFonts w:ascii="Calibri" w:eastAsia="SimSun" w:hAnsi="Calibri" w:cs="Calibri"/>
          <w:color w:val="1B75BC"/>
        </w:rPr>
      </w:pPr>
      <w:r>
        <w:rPr>
          <w:rFonts w:ascii="Calibri" w:eastAsia="SimSun" w:hAnsi="Calibri" w:hint="eastAsia"/>
          <w:b/>
          <w:bCs/>
          <w:color w:val="1B75BC"/>
          <w:lang w:eastAsia="zh-TW"/>
        </w:rPr>
        <w:t>新的目標是什麼？</w:t>
      </w:r>
    </w:p>
    <w:p w14:paraId="22ADC927" w14:textId="3A6FF209" w:rsidR="4BBB7754" w:rsidRPr="00F84723" w:rsidRDefault="000541EB" w:rsidP="00F14F43">
      <w:pPr>
        <w:spacing w:after="0"/>
        <w:rPr>
          <w:rFonts w:ascii="Calibri" w:eastAsia="SimSun" w:hAnsi="Calibri" w:cs="Calibri"/>
          <w:color w:val="000000" w:themeColor="text1"/>
        </w:rPr>
      </w:pPr>
      <w:r>
        <w:rPr>
          <w:rFonts w:ascii="Calibri" w:eastAsia="SimSun" w:hAnsi="Calibri" w:hint="eastAsia"/>
          <w:color w:val="000000" w:themeColor="text1"/>
          <w:lang w:eastAsia="zh-TW"/>
        </w:rPr>
        <w:t>在我們收到合作夥伴的來信之前，</w:t>
      </w:r>
      <w:r>
        <w:rPr>
          <w:rFonts w:ascii="Calibri" w:eastAsia="SimSun" w:hAnsi="Calibri"/>
          <w:color w:val="000000" w:themeColor="text1"/>
          <w:lang w:eastAsia="zh-TW"/>
        </w:rPr>
        <w:t>ODE</w:t>
      </w:r>
      <w:r>
        <w:rPr>
          <w:rFonts w:ascii="Calibri" w:eastAsia="SimSun" w:hAnsi="Calibri" w:hint="eastAsia"/>
          <w:color w:val="000000" w:themeColor="text1"/>
          <w:lang w:eastAsia="zh-TW"/>
        </w:rPr>
        <w:t>不會設定新的目標。有幾種方法可以設定新的目標。可以根據最終資料設定百分比增長，或者檢查一段時間的趨勢，並根據趨勢做出預測。關於設置目標的一些有用資訊：</w:t>
      </w:r>
    </w:p>
    <w:p w14:paraId="4551AD98" w14:textId="0959CB6A" w:rsidR="001D55B0" w:rsidRPr="00F84723" w:rsidRDefault="000541EB" w:rsidP="001D55B0">
      <w:pPr>
        <w:pStyle w:val="ListParagraph"/>
        <w:numPr>
          <w:ilvl w:val="0"/>
          <w:numId w:val="1"/>
        </w:numPr>
        <w:rPr>
          <w:rFonts w:ascii="Calibri" w:eastAsia="SimSun" w:hAnsi="Calibri" w:cs="Calibri"/>
          <w:color w:val="000000" w:themeColor="text1"/>
          <w:lang w:eastAsia="zh-TW"/>
        </w:rPr>
      </w:pPr>
      <w:r>
        <w:rPr>
          <w:rFonts w:ascii="Calibri" w:eastAsia="SimSun" w:hAnsi="Calibri" w:hint="eastAsia"/>
          <w:color w:val="000000" w:themeColor="text1"/>
          <w:lang w:eastAsia="zh-TW"/>
        </w:rPr>
        <w:t>目標旨在支援改善兒童和家庭的成果和結果。這些目標應該觸手可及，但仍顯示出增長趨勢。</w:t>
      </w:r>
      <w:r w:rsidR="001D55B0">
        <w:rPr>
          <w:rFonts w:ascii="Calibri" w:eastAsia="SimSun" w:hAnsi="Calibri" w:hint="eastAsia"/>
          <w:color w:val="000000" w:themeColor="text1"/>
          <w:lang w:eastAsia="zh-TW"/>
        </w:rPr>
        <w:t xml:space="preserve"> </w:t>
      </w:r>
    </w:p>
    <w:p w14:paraId="1E4FA14B" w14:textId="71DE58B2" w:rsidR="4BBB7754" w:rsidRPr="00F84723" w:rsidRDefault="000541EB" w:rsidP="001D55B0">
      <w:pPr>
        <w:pStyle w:val="ListParagraph"/>
        <w:numPr>
          <w:ilvl w:val="0"/>
          <w:numId w:val="1"/>
        </w:numPr>
        <w:rPr>
          <w:rFonts w:ascii="Calibri" w:eastAsia="SimSun" w:hAnsi="Calibri" w:cs="Calibri"/>
          <w:color w:val="000000" w:themeColor="text1"/>
          <w:lang w:eastAsia="zh-TW"/>
        </w:rPr>
      </w:pPr>
      <w:r>
        <w:rPr>
          <w:rFonts w:ascii="Calibri" w:eastAsia="SimSun" w:hAnsi="Calibri" w:hint="eastAsia"/>
          <w:color w:val="000000" w:themeColor="text1"/>
          <w:lang w:eastAsia="zh-TW"/>
        </w:rPr>
        <w:t>改變需要時間。在創建目標時，可以牢記這一觀念。例如，目標可能連續幾年保持不變，然後在最終目標年</w:t>
      </w:r>
      <w:r>
        <w:rPr>
          <w:rFonts w:ascii="Calibri" w:eastAsia="SimSun" w:hAnsi="Calibri"/>
          <w:color w:val="000000" w:themeColor="text1"/>
          <w:lang w:eastAsia="zh-TW"/>
        </w:rPr>
        <w:t>(FFY2025)</w:t>
      </w:r>
      <w:r>
        <w:rPr>
          <w:rFonts w:ascii="Calibri" w:eastAsia="SimSun" w:hAnsi="Calibri" w:hint="eastAsia"/>
          <w:color w:val="000000" w:themeColor="text1"/>
          <w:lang w:eastAsia="zh-TW"/>
        </w:rPr>
        <w:t>略有改善。或者，目標可以顯示每年略有改善</w:t>
      </w:r>
      <w:r>
        <w:rPr>
          <w:rFonts w:ascii="Calibri" w:eastAsia="SimSun" w:hAnsi="Calibri"/>
          <w:color w:val="000000" w:themeColor="text1"/>
          <w:lang w:eastAsia="zh-TW"/>
        </w:rPr>
        <w:t>.</w:t>
      </w:r>
    </w:p>
    <w:p w14:paraId="477534C5" w14:textId="06DA936F" w:rsidR="547E444A" w:rsidRPr="00F84723" w:rsidRDefault="000541EB" w:rsidP="00BC1904">
      <w:pPr>
        <w:pStyle w:val="ListParagraph"/>
        <w:numPr>
          <w:ilvl w:val="0"/>
          <w:numId w:val="1"/>
        </w:numPr>
        <w:spacing w:after="120"/>
        <w:rPr>
          <w:color w:val="000000" w:themeColor="text1"/>
        </w:rPr>
      </w:pPr>
      <w:r>
        <w:rPr>
          <w:rFonts w:ascii="Calibri" w:eastAsia="SimSun" w:hAnsi="Calibri"/>
          <w:b/>
          <w:bCs/>
          <w:i/>
          <w:iCs/>
          <w:lang w:eastAsia="zh-TW"/>
        </w:rPr>
        <w:t>FFY 2020</w:t>
      </w:r>
      <w:r>
        <w:rPr>
          <w:rFonts w:ascii="Calibri" w:eastAsia="SimSun" w:hAnsi="Calibri" w:hint="eastAsia"/>
          <w:b/>
          <w:bCs/>
          <w:i/>
          <w:iCs/>
          <w:lang w:eastAsia="zh-TW"/>
        </w:rPr>
        <w:t>和</w:t>
      </w:r>
      <w:r>
        <w:rPr>
          <w:rFonts w:ascii="Calibri" w:eastAsia="SimSun" w:hAnsi="Calibri"/>
          <w:b/>
          <w:bCs/>
          <w:i/>
          <w:iCs/>
          <w:lang w:eastAsia="zh-TW"/>
        </w:rPr>
        <w:t>FFY 2021</w:t>
      </w:r>
      <w:r>
        <w:rPr>
          <w:rFonts w:ascii="Calibri" w:eastAsia="SimSun" w:hAnsi="Calibri" w:hint="eastAsia"/>
          <w:b/>
          <w:bCs/>
          <w:i/>
          <w:iCs/>
          <w:lang w:eastAsia="zh-TW"/>
        </w:rPr>
        <w:t>學科資料受到新冠肺炎的影響。</w:t>
      </w:r>
    </w:p>
    <w:p w14:paraId="08B9EDF3" w14:textId="533E3AA4" w:rsidR="4BBB7754" w:rsidRDefault="000541EB" w:rsidP="00BC1904">
      <w:pPr>
        <w:spacing w:after="120"/>
        <w:rPr>
          <w:rFonts w:ascii="Calibri" w:eastAsia="SimSun" w:hAnsi="Calibri" w:cs="Calibri"/>
          <w:color w:val="408740"/>
          <w:sz w:val="24"/>
          <w:szCs w:val="24"/>
        </w:rPr>
      </w:pPr>
      <w:r>
        <w:rPr>
          <w:rFonts w:ascii="Calibri" w:eastAsia="SimSun" w:hAnsi="Calibri"/>
          <w:b/>
          <w:bCs/>
          <w:color w:val="408740"/>
          <w:sz w:val="24"/>
          <w:szCs w:val="24"/>
          <w:lang w:eastAsia="zh-TW"/>
        </w:rPr>
        <w:t>B4A</w:t>
      </w:r>
      <w:r>
        <w:rPr>
          <w:rFonts w:ascii="Calibri" w:eastAsia="SimSun" w:hAnsi="Calibri" w:hint="eastAsia"/>
          <w:b/>
          <w:bCs/>
          <w:color w:val="408740"/>
          <w:sz w:val="24"/>
          <w:szCs w:val="24"/>
          <w:lang w:eastAsia="zh-TW"/>
        </w:rPr>
        <w:t>目標的示例</w:t>
      </w:r>
      <w:r>
        <w:rPr>
          <w:rFonts w:ascii="Calibri" w:eastAsia="SimSun" w:hAnsi="Calibri"/>
          <w:b/>
          <w:bCs/>
          <w:color w:val="408740"/>
          <w:sz w:val="24"/>
          <w:szCs w:val="24"/>
          <w:lang w:eastAsia="zh-TW"/>
        </w:rPr>
        <w:t>A</w:t>
      </w:r>
      <w:r>
        <w:rPr>
          <w:rFonts w:ascii="Calibri" w:eastAsia="SimSun" w:hAnsi="Calibri" w:hint="eastAsia"/>
          <w:b/>
          <w:bCs/>
          <w:color w:val="408740"/>
          <w:sz w:val="24"/>
          <w:szCs w:val="24"/>
          <w:lang w:eastAsia="zh-TW"/>
        </w:rPr>
        <w:t>：基線年</w:t>
      </w:r>
      <w:r>
        <w:rPr>
          <w:rFonts w:ascii="Calibri" w:eastAsia="SimSun" w:hAnsi="Calibri"/>
          <w:b/>
          <w:bCs/>
          <w:color w:val="408740"/>
          <w:sz w:val="24"/>
          <w:szCs w:val="24"/>
          <w:lang w:eastAsia="zh-TW"/>
        </w:rPr>
        <w:t>2019</w:t>
      </w:r>
      <w:r>
        <w:rPr>
          <w:rFonts w:ascii="Calibri" w:eastAsia="SimSun" w:hAnsi="Calibri" w:hint="eastAsia"/>
          <w:b/>
          <w:bCs/>
          <w:color w:val="408740"/>
          <w:sz w:val="24"/>
          <w:szCs w:val="24"/>
          <w:lang w:eastAsia="zh-TW"/>
        </w:rPr>
        <w:t>，目標為</w:t>
      </w:r>
      <w:r>
        <w:rPr>
          <w:rFonts w:ascii="Calibri" w:eastAsia="SimSun" w:hAnsi="Calibri"/>
          <w:b/>
          <w:bCs/>
          <w:color w:val="408740"/>
          <w:sz w:val="24"/>
          <w:szCs w:val="24"/>
          <w:lang w:eastAsia="zh-TW"/>
        </w:rPr>
        <w:t>62%</w:t>
      </w:r>
      <w:r w:rsidR="4BBB7754">
        <w:rPr>
          <w:rFonts w:ascii="Calibri" w:eastAsia="SimSun" w:hAnsi="Calibri" w:hint="eastAsia"/>
          <w:b/>
          <w:bCs/>
          <w:color w:val="408740"/>
          <w:sz w:val="24"/>
          <w:szCs w:val="24"/>
        </w:rPr>
        <w:t xml:space="preserve"> </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5D98BE62" w14:textId="77777777" w:rsidTr="003554B6">
        <w:trPr>
          <w:tblHeader/>
        </w:trPr>
        <w:tc>
          <w:tcPr>
            <w:tcW w:w="2220" w:type="dxa"/>
          </w:tcPr>
          <w:p w14:paraId="761F74D5" w14:textId="17CD8657" w:rsidR="11458547" w:rsidRDefault="000541EB" w:rsidP="11458547">
            <w:pPr>
              <w:spacing w:line="259" w:lineRule="auto"/>
              <w:jc w:val="center"/>
              <w:rPr>
                <w:rFonts w:ascii="Calibri" w:eastAsia="SimSun" w:hAnsi="Calibri" w:cs="Calibri"/>
              </w:rPr>
            </w:pPr>
            <w:r>
              <w:rPr>
                <w:rFonts w:ascii="Calibri" w:eastAsia="SimSun" w:hAnsi="Calibri"/>
                <w:b/>
                <w:bCs/>
                <w:lang w:eastAsia="zh-TW"/>
              </w:rPr>
              <w:t>FFY</w:t>
            </w:r>
          </w:p>
        </w:tc>
        <w:tc>
          <w:tcPr>
            <w:tcW w:w="1275" w:type="dxa"/>
          </w:tcPr>
          <w:p w14:paraId="6FF289AD" w14:textId="2D7302E7" w:rsidR="11458547" w:rsidRDefault="000541EB" w:rsidP="1B7C5E0B">
            <w:pPr>
              <w:spacing w:line="259" w:lineRule="auto"/>
              <w:jc w:val="center"/>
              <w:rPr>
                <w:rFonts w:ascii="Calibri" w:eastAsia="SimSun" w:hAnsi="Calibri" w:cs="Calibri"/>
              </w:rPr>
            </w:pPr>
            <w:r>
              <w:rPr>
                <w:rFonts w:ascii="Calibri" w:eastAsia="SimSun" w:hAnsi="Calibri"/>
                <w:b/>
                <w:bCs/>
                <w:lang w:eastAsia="zh-TW"/>
              </w:rPr>
              <w:t>2020</w:t>
            </w:r>
          </w:p>
        </w:tc>
        <w:tc>
          <w:tcPr>
            <w:tcW w:w="1275" w:type="dxa"/>
          </w:tcPr>
          <w:p w14:paraId="5F13C07F" w14:textId="1C20B96E" w:rsidR="11458547" w:rsidRDefault="000541EB" w:rsidP="1B7C5E0B">
            <w:pPr>
              <w:spacing w:line="259" w:lineRule="auto"/>
              <w:jc w:val="center"/>
              <w:rPr>
                <w:rFonts w:ascii="Calibri" w:eastAsia="SimSun" w:hAnsi="Calibri" w:cs="Calibri"/>
              </w:rPr>
            </w:pPr>
            <w:r>
              <w:rPr>
                <w:rFonts w:ascii="Calibri" w:eastAsia="SimSun" w:hAnsi="Calibri"/>
                <w:b/>
                <w:bCs/>
                <w:lang w:eastAsia="zh-TW"/>
              </w:rPr>
              <w:t>2021</w:t>
            </w:r>
          </w:p>
        </w:tc>
        <w:tc>
          <w:tcPr>
            <w:tcW w:w="1275" w:type="dxa"/>
          </w:tcPr>
          <w:p w14:paraId="4C2A8153" w14:textId="0E2EB76A"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2022</w:t>
            </w:r>
          </w:p>
        </w:tc>
        <w:tc>
          <w:tcPr>
            <w:tcW w:w="1275" w:type="dxa"/>
          </w:tcPr>
          <w:p w14:paraId="06D8CCF0" w14:textId="5E66C398"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2023</w:t>
            </w:r>
          </w:p>
        </w:tc>
        <w:tc>
          <w:tcPr>
            <w:tcW w:w="1275" w:type="dxa"/>
          </w:tcPr>
          <w:p w14:paraId="21F7EA2C" w14:textId="3AE2E53E"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2024</w:t>
            </w:r>
          </w:p>
        </w:tc>
        <w:tc>
          <w:tcPr>
            <w:tcW w:w="1275" w:type="dxa"/>
          </w:tcPr>
          <w:p w14:paraId="149E4E9B" w14:textId="545BB1FA"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2025</w:t>
            </w:r>
          </w:p>
        </w:tc>
      </w:tr>
      <w:tr w:rsidR="11458547" w14:paraId="6AF5CF9A" w14:textId="77777777" w:rsidTr="00BB6EA2">
        <w:trPr>
          <w:trHeight w:val="107"/>
        </w:trPr>
        <w:tc>
          <w:tcPr>
            <w:tcW w:w="2220" w:type="dxa"/>
          </w:tcPr>
          <w:p w14:paraId="069109CF" w14:textId="2B0EEB68" w:rsidR="439FDF39" w:rsidRDefault="000541EB" w:rsidP="00300D8D">
            <w:pPr>
              <w:spacing w:line="259" w:lineRule="auto"/>
              <w:rPr>
                <w:rFonts w:ascii="Calibri" w:eastAsia="SimSun" w:hAnsi="Calibri" w:cs="Calibri"/>
              </w:rPr>
            </w:pPr>
            <w:r>
              <w:rPr>
                <w:rFonts w:ascii="Calibri" w:eastAsia="SimSun" w:hAnsi="Calibri"/>
                <w:lang w:eastAsia="zh-TW"/>
              </w:rPr>
              <w:t xml:space="preserve">4A </w:t>
            </w:r>
            <w:r>
              <w:rPr>
                <w:rFonts w:ascii="Calibri" w:eastAsia="SimSun" w:hAnsi="Calibri" w:hint="eastAsia"/>
                <w:lang w:eastAsia="zh-TW"/>
              </w:rPr>
              <w:t>目標≤</w:t>
            </w:r>
          </w:p>
        </w:tc>
        <w:tc>
          <w:tcPr>
            <w:tcW w:w="1275" w:type="dxa"/>
          </w:tcPr>
          <w:p w14:paraId="0DC7BE9E" w14:textId="51513C27" w:rsidR="11458547" w:rsidRDefault="000541EB" w:rsidP="1B7C5E0B">
            <w:pPr>
              <w:spacing w:line="259" w:lineRule="auto"/>
              <w:jc w:val="center"/>
              <w:rPr>
                <w:rFonts w:ascii="Calibri" w:eastAsia="SimSun" w:hAnsi="Calibri" w:cs="Calibri"/>
              </w:rPr>
            </w:pPr>
            <w:r>
              <w:rPr>
                <w:rFonts w:ascii="Calibri" w:eastAsia="SimSun" w:hAnsi="Calibri"/>
                <w:lang w:eastAsia="zh-TW"/>
              </w:rPr>
              <w:t>62.00%</w:t>
            </w:r>
          </w:p>
        </w:tc>
        <w:tc>
          <w:tcPr>
            <w:tcW w:w="1275" w:type="dxa"/>
          </w:tcPr>
          <w:p w14:paraId="0F18F025" w14:textId="4E4F1947" w:rsidR="11458547" w:rsidRDefault="000541EB" w:rsidP="1B7C5E0B">
            <w:pPr>
              <w:spacing w:line="259" w:lineRule="auto"/>
              <w:jc w:val="center"/>
              <w:rPr>
                <w:rFonts w:ascii="Calibri" w:eastAsia="SimSun" w:hAnsi="Calibri" w:cs="Calibri"/>
              </w:rPr>
            </w:pPr>
            <w:r>
              <w:rPr>
                <w:rFonts w:ascii="Calibri" w:eastAsia="SimSun" w:hAnsi="Calibri"/>
                <w:lang w:eastAsia="zh-TW"/>
              </w:rPr>
              <w:t>62.00%</w:t>
            </w:r>
          </w:p>
        </w:tc>
        <w:tc>
          <w:tcPr>
            <w:tcW w:w="1275" w:type="dxa"/>
          </w:tcPr>
          <w:p w14:paraId="201861D7" w14:textId="765B3313" w:rsidR="11458547" w:rsidRDefault="000541EB" w:rsidP="1B7C5E0B">
            <w:pPr>
              <w:spacing w:line="259" w:lineRule="auto"/>
              <w:jc w:val="center"/>
              <w:rPr>
                <w:rFonts w:ascii="Calibri" w:eastAsia="SimSun" w:hAnsi="Calibri" w:cs="Calibri"/>
              </w:rPr>
            </w:pPr>
            <w:r>
              <w:rPr>
                <w:rFonts w:ascii="Calibri" w:eastAsia="SimSun" w:hAnsi="Calibri"/>
                <w:lang w:eastAsia="zh-TW"/>
              </w:rPr>
              <w:t>61.75%</w:t>
            </w:r>
          </w:p>
        </w:tc>
        <w:tc>
          <w:tcPr>
            <w:tcW w:w="1275" w:type="dxa"/>
          </w:tcPr>
          <w:p w14:paraId="75B0C0F7" w14:textId="17C98EE3" w:rsidR="11458547" w:rsidRDefault="000541EB" w:rsidP="00BB6EA2">
            <w:pPr>
              <w:spacing w:line="259" w:lineRule="auto"/>
              <w:jc w:val="center"/>
              <w:rPr>
                <w:rFonts w:ascii="Calibri" w:eastAsia="SimSun" w:hAnsi="Calibri" w:cs="Calibri"/>
              </w:rPr>
            </w:pPr>
            <w:r>
              <w:rPr>
                <w:rFonts w:ascii="Calibri" w:eastAsia="SimSun" w:hAnsi="Calibri"/>
                <w:lang w:eastAsia="zh-TW"/>
              </w:rPr>
              <w:t>61.50%</w:t>
            </w:r>
          </w:p>
        </w:tc>
        <w:tc>
          <w:tcPr>
            <w:tcW w:w="1275" w:type="dxa"/>
          </w:tcPr>
          <w:p w14:paraId="5D752F71" w14:textId="5AA8A2D9" w:rsidR="11458547" w:rsidRDefault="000541EB" w:rsidP="00BB6EA2">
            <w:pPr>
              <w:spacing w:line="259" w:lineRule="auto"/>
              <w:jc w:val="center"/>
              <w:rPr>
                <w:rFonts w:ascii="Calibri" w:eastAsia="SimSun" w:hAnsi="Calibri" w:cs="Calibri"/>
              </w:rPr>
            </w:pPr>
            <w:r>
              <w:rPr>
                <w:rFonts w:ascii="Calibri" w:eastAsia="SimSun" w:hAnsi="Calibri"/>
                <w:lang w:eastAsia="zh-TW"/>
              </w:rPr>
              <w:t>61.25%</w:t>
            </w:r>
          </w:p>
        </w:tc>
        <w:tc>
          <w:tcPr>
            <w:tcW w:w="1275" w:type="dxa"/>
          </w:tcPr>
          <w:p w14:paraId="29839416" w14:textId="424393E8" w:rsidR="11458547" w:rsidRDefault="000541EB" w:rsidP="1B7C5E0B">
            <w:pPr>
              <w:spacing w:line="259" w:lineRule="auto"/>
              <w:jc w:val="center"/>
              <w:rPr>
                <w:rFonts w:ascii="Calibri" w:eastAsia="SimSun" w:hAnsi="Calibri" w:cs="Calibri"/>
              </w:rPr>
            </w:pPr>
            <w:r>
              <w:rPr>
                <w:rFonts w:ascii="Calibri" w:eastAsia="SimSun" w:hAnsi="Calibri"/>
                <w:lang w:eastAsia="zh-TW"/>
              </w:rPr>
              <w:t>61.00%</w:t>
            </w:r>
          </w:p>
        </w:tc>
      </w:tr>
    </w:tbl>
    <w:p w14:paraId="7C2E7CBC" w14:textId="14DA309E" w:rsidR="255201E7" w:rsidRDefault="000541EB" w:rsidP="00BC1904">
      <w:pPr>
        <w:spacing w:after="120"/>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A</w:t>
      </w:r>
      <w:r>
        <w:rPr>
          <w:rFonts w:ascii="Calibri" w:eastAsia="SimSun" w:hAnsi="Calibri" w:hint="eastAsia"/>
          <w:color w:val="000000" w:themeColor="text1"/>
          <w:lang w:eastAsia="zh-TW"/>
        </w:rPr>
        <w:t>顯示了逐漸增加的趨勢。</w:t>
      </w:r>
    </w:p>
    <w:p w14:paraId="39B5FF48" w14:textId="6F2B1EC6" w:rsidR="255201E7" w:rsidRDefault="000541EB" w:rsidP="00BC1904">
      <w:pPr>
        <w:spacing w:after="120"/>
        <w:rPr>
          <w:rFonts w:ascii="Calibri" w:eastAsia="SimSun" w:hAnsi="Calibri" w:cs="Calibri"/>
          <w:color w:val="408740"/>
          <w:sz w:val="24"/>
          <w:szCs w:val="24"/>
        </w:rPr>
      </w:pPr>
      <w:r>
        <w:rPr>
          <w:rFonts w:ascii="Calibri" w:eastAsia="SimSun" w:hAnsi="Calibri"/>
          <w:b/>
          <w:bCs/>
          <w:color w:val="408740"/>
          <w:sz w:val="24"/>
          <w:szCs w:val="24"/>
          <w:lang w:eastAsia="zh-TW"/>
        </w:rPr>
        <w:t>B4A</w:t>
      </w:r>
      <w:r>
        <w:rPr>
          <w:rFonts w:ascii="Calibri" w:eastAsia="SimSun" w:hAnsi="Calibri" w:hint="eastAsia"/>
          <w:b/>
          <w:bCs/>
          <w:color w:val="408740"/>
          <w:sz w:val="24"/>
          <w:szCs w:val="24"/>
          <w:lang w:eastAsia="zh-TW"/>
        </w:rPr>
        <w:t>目標的示例</w:t>
      </w:r>
      <w:r>
        <w:rPr>
          <w:rFonts w:ascii="Calibri" w:eastAsia="SimSun" w:hAnsi="Calibri"/>
          <w:b/>
          <w:bCs/>
          <w:color w:val="408740"/>
          <w:sz w:val="24"/>
          <w:szCs w:val="24"/>
          <w:lang w:eastAsia="zh-TW"/>
        </w:rPr>
        <w:t>B</w:t>
      </w:r>
      <w:r>
        <w:rPr>
          <w:rFonts w:ascii="Calibri" w:eastAsia="SimSun" w:hAnsi="Calibri" w:hint="eastAsia"/>
          <w:b/>
          <w:bCs/>
          <w:color w:val="408740"/>
          <w:sz w:val="24"/>
          <w:szCs w:val="24"/>
          <w:lang w:eastAsia="zh-TW"/>
        </w:rPr>
        <w:t>：基線年</w:t>
      </w:r>
      <w:r>
        <w:rPr>
          <w:rFonts w:ascii="Calibri" w:eastAsia="SimSun" w:hAnsi="Calibri"/>
          <w:b/>
          <w:bCs/>
          <w:color w:val="408740"/>
          <w:sz w:val="24"/>
          <w:szCs w:val="24"/>
          <w:lang w:eastAsia="zh-TW"/>
        </w:rPr>
        <w:t>2019</w:t>
      </w:r>
      <w:r>
        <w:rPr>
          <w:rFonts w:ascii="Calibri" w:eastAsia="SimSun" w:hAnsi="Calibri" w:hint="eastAsia"/>
          <w:b/>
          <w:bCs/>
          <w:color w:val="408740"/>
          <w:sz w:val="24"/>
          <w:szCs w:val="24"/>
          <w:lang w:eastAsia="zh-TW"/>
        </w:rPr>
        <w:t>，目標為</w:t>
      </w:r>
      <w:r>
        <w:rPr>
          <w:rFonts w:ascii="Calibri" w:eastAsia="SimSun" w:hAnsi="Calibri"/>
          <w:b/>
          <w:bCs/>
          <w:color w:val="408740"/>
          <w:sz w:val="24"/>
          <w:szCs w:val="24"/>
          <w:lang w:eastAsia="zh-TW"/>
        </w:rPr>
        <w:t>62%</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0FAC3656" w14:textId="77777777" w:rsidTr="003554B6">
        <w:trPr>
          <w:tblHeader/>
        </w:trPr>
        <w:tc>
          <w:tcPr>
            <w:tcW w:w="2220" w:type="dxa"/>
          </w:tcPr>
          <w:p w14:paraId="0F4C8285" w14:textId="4D71873D" w:rsidR="11458547" w:rsidRDefault="000541EB" w:rsidP="11458547">
            <w:pPr>
              <w:spacing w:line="259" w:lineRule="auto"/>
              <w:jc w:val="center"/>
              <w:rPr>
                <w:rFonts w:ascii="Calibri" w:eastAsia="SimSun" w:hAnsi="Calibri" w:cs="Calibri"/>
              </w:rPr>
            </w:pPr>
            <w:r>
              <w:rPr>
                <w:rFonts w:ascii="Calibri" w:eastAsia="SimSun" w:hAnsi="Calibri"/>
                <w:b/>
                <w:bCs/>
                <w:lang w:eastAsia="zh-TW"/>
              </w:rPr>
              <w:t>FFY</w:t>
            </w:r>
          </w:p>
        </w:tc>
        <w:tc>
          <w:tcPr>
            <w:tcW w:w="1275" w:type="dxa"/>
          </w:tcPr>
          <w:p w14:paraId="051D9902" w14:textId="0DF0B226"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2020</w:t>
            </w:r>
          </w:p>
        </w:tc>
        <w:tc>
          <w:tcPr>
            <w:tcW w:w="1275" w:type="dxa"/>
          </w:tcPr>
          <w:p w14:paraId="2CAB0210" w14:textId="207A5FB3"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2021</w:t>
            </w:r>
          </w:p>
        </w:tc>
        <w:tc>
          <w:tcPr>
            <w:tcW w:w="1275" w:type="dxa"/>
          </w:tcPr>
          <w:p w14:paraId="041A0AB9" w14:textId="12016FBC"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2022</w:t>
            </w:r>
          </w:p>
        </w:tc>
        <w:tc>
          <w:tcPr>
            <w:tcW w:w="1275" w:type="dxa"/>
          </w:tcPr>
          <w:p w14:paraId="47295C0D" w14:textId="0C928EB8"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2023</w:t>
            </w:r>
          </w:p>
        </w:tc>
        <w:tc>
          <w:tcPr>
            <w:tcW w:w="1275" w:type="dxa"/>
          </w:tcPr>
          <w:p w14:paraId="0186D260" w14:textId="766DAE50"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2024</w:t>
            </w:r>
          </w:p>
        </w:tc>
        <w:tc>
          <w:tcPr>
            <w:tcW w:w="1275" w:type="dxa"/>
          </w:tcPr>
          <w:p w14:paraId="478A199B" w14:textId="6E7ADE66" w:rsidR="11458547" w:rsidRDefault="000541EB" w:rsidP="11458547">
            <w:pPr>
              <w:spacing w:line="259" w:lineRule="auto"/>
              <w:jc w:val="center"/>
              <w:rPr>
                <w:rFonts w:ascii="Calibri" w:eastAsia="SimSun" w:hAnsi="Calibri" w:cs="Calibri"/>
              </w:rPr>
            </w:pPr>
            <w:r>
              <w:rPr>
                <w:rFonts w:ascii="Calibri" w:eastAsia="SimSun" w:hAnsi="Calibri"/>
                <w:b/>
                <w:bCs/>
                <w:lang w:eastAsia="zh-TW"/>
              </w:rPr>
              <w:t>2025</w:t>
            </w:r>
          </w:p>
        </w:tc>
      </w:tr>
      <w:tr w:rsidR="11458547" w14:paraId="631770DF" w14:textId="77777777" w:rsidTr="1B7C5E0B">
        <w:tc>
          <w:tcPr>
            <w:tcW w:w="2220" w:type="dxa"/>
          </w:tcPr>
          <w:p w14:paraId="39F47907" w14:textId="7FB7BB5A" w:rsidR="11458547" w:rsidRDefault="000541EB" w:rsidP="00300D8D">
            <w:pPr>
              <w:spacing w:line="259" w:lineRule="auto"/>
              <w:rPr>
                <w:rFonts w:ascii="Calibri" w:eastAsia="SimSun" w:hAnsi="Calibri" w:cs="Calibri"/>
              </w:rPr>
            </w:pPr>
            <w:r>
              <w:rPr>
                <w:rFonts w:ascii="Calibri" w:eastAsia="SimSun" w:hAnsi="Calibri"/>
                <w:lang w:eastAsia="zh-TW"/>
              </w:rPr>
              <w:t xml:space="preserve">4A </w:t>
            </w:r>
            <w:r>
              <w:rPr>
                <w:rFonts w:ascii="Calibri" w:eastAsia="SimSun" w:hAnsi="Calibri" w:hint="eastAsia"/>
                <w:lang w:eastAsia="zh-TW"/>
              </w:rPr>
              <w:t>目標≤</w:t>
            </w:r>
          </w:p>
        </w:tc>
        <w:tc>
          <w:tcPr>
            <w:tcW w:w="1275" w:type="dxa"/>
          </w:tcPr>
          <w:p w14:paraId="1BE3574C" w14:textId="516500DF" w:rsidR="11458547" w:rsidRDefault="000541EB" w:rsidP="1B7C5E0B">
            <w:pPr>
              <w:spacing w:line="259" w:lineRule="auto"/>
              <w:jc w:val="center"/>
              <w:rPr>
                <w:rFonts w:ascii="Calibri" w:eastAsia="SimSun" w:hAnsi="Calibri" w:cs="Calibri"/>
              </w:rPr>
            </w:pPr>
            <w:r>
              <w:rPr>
                <w:rFonts w:ascii="Calibri" w:eastAsia="SimSun" w:hAnsi="Calibri"/>
                <w:lang w:eastAsia="zh-TW"/>
              </w:rPr>
              <w:t>62.00%</w:t>
            </w:r>
          </w:p>
        </w:tc>
        <w:tc>
          <w:tcPr>
            <w:tcW w:w="1275" w:type="dxa"/>
          </w:tcPr>
          <w:p w14:paraId="27B9FB50" w14:textId="55B6EA75" w:rsidR="11458547" w:rsidRDefault="000541EB" w:rsidP="00BB6EA2">
            <w:pPr>
              <w:spacing w:line="259" w:lineRule="auto"/>
              <w:jc w:val="center"/>
              <w:rPr>
                <w:rFonts w:ascii="Calibri" w:eastAsia="SimSun" w:hAnsi="Calibri" w:cs="Calibri"/>
              </w:rPr>
            </w:pPr>
            <w:r>
              <w:rPr>
                <w:rFonts w:ascii="Calibri" w:eastAsia="SimSun" w:hAnsi="Calibri"/>
                <w:lang w:eastAsia="zh-TW"/>
              </w:rPr>
              <w:t>62.00%</w:t>
            </w:r>
          </w:p>
        </w:tc>
        <w:tc>
          <w:tcPr>
            <w:tcW w:w="1275" w:type="dxa"/>
          </w:tcPr>
          <w:p w14:paraId="5E5CA2C5" w14:textId="658AF014" w:rsidR="11458547" w:rsidRDefault="000541EB" w:rsidP="00BB6EA2">
            <w:pPr>
              <w:spacing w:line="259" w:lineRule="auto"/>
              <w:jc w:val="center"/>
              <w:rPr>
                <w:rFonts w:ascii="Calibri" w:eastAsia="SimSun" w:hAnsi="Calibri" w:cs="Calibri"/>
              </w:rPr>
            </w:pPr>
            <w:r>
              <w:rPr>
                <w:rFonts w:ascii="Calibri" w:eastAsia="SimSun" w:hAnsi="Calibri"/>
                <w:lang w:eastAsia="zh-TW"/>
              </w:rPr>
              <w:t>61.50%</w:t>
            </w:r>
          </w:p>
        </w:tc>
        <w:tc>
          <w:tcPr>
            <w:tcW w:w="1275" w:type="dxa"/>
          </w:tcPr>
          <w:p w14:paraId="39CD7664" w14:textId="296E6A0A" w:rsidR="11458547" w:rsidRDefault="000541EB" w:rsidP="1B7C5E0B">
            <w:pPr>
              <w:spacing w:line="259" w:lineRule="auto"/>
              <w:jc w:val="center"/>
              <w:rPr>
                <w:rFonts w:ascii="Calibri" w:eastAsia="SimSun" w:hAnsi="Calibri" w:cs="Calibri"/>
              </w:rPr>
            </w:pPr>
            <w:r>
              <w:rPr>
                <w:rFonts w:ascii="Calibri" w:eastAsia="SimSun" w:hAnsi="Calibri"/>
                <w:lang w:eastAsia="zh-TW"/>
              </w:rPr>
              <w:t>61.25%</w:t>
            </w:r>
          </w:p>
        </w:tc>
        <w:tc>
          <w:tcPr>
            <w:tcW w:w="1275" w:type="dxa"/>
          </w:tcPr>
          <w:p w14:paraId="4E98C006" w14:textId="30AFB774" w:rsidR="11458547" w:rsidRDefault="000541EB" w:rsidP="1B7C5E0B">
            <w:pPr>
              <w:spacing w:line="259" w:lineRule="auto"/>
              <w:jc w:val="center"/>
              <w:rPr>
                <w:rFonts w:ascii="Calibri" w:eastAsia="SimSun" w:hAnsi="Calibri" w:cs="Calibri"/>
              </w:rPr>
            </w:pPr>
            <w:r>
              <w:rPr>
                <w:rFonts w:ascii="Calibri" w:eastAsia="SimSun" w:hAnsi="Calibri"/>
                <w:lang w:eastAsia="zh-TW"/>
              </w:rPr>
              <w:t>61.00%</w:t>
            </w:r>
          </w:p>
        </w:tc>
        <w:tc>
          <w:tcPr>
            <w:tcW w:w="1275" w:type="dxa"/>
          </w:tcPr>
          <w:p w14:paraId="2900B4A7" w14:textId="6AE29C51" w:rsidR="11458547" w:rsidRDefault="000541EB" w:rsidP="1B7C5E0B">
            <w:pPr>
              <w:spacing w:line="259" w:lineRule="auto"/>
              <w:jc w:val="center"/>
              <w:rPr>
                <w:rFonts w:ascii="Calibri" w:eastAsia="SimSun" w:hAnsi="Calibri" w:cs="Calibri"/>
              </w:rPr>
            </w:pPr>
            <w:r>
              <w:rPr>
                <w:rFonts w:ascii="Calibri" w:eastAsia="SimSun" w:hAnsi="Calibri"/>
                <w:lang w:eastAsia="zh-TW"/>
              </w:rPr>
              <w:t>60.50%</w:t>
            </w:r>
          </w:p>
        </w:tc>
      </w:tr>
    </w:tbl>
    <w:p w14:paraId="5F35CFE9" w14:textId="0A234CD4" w:rsidR="255201E7" w:rsidRPr="00F14F43" w:rsidRDefault="000541EB" w:rsidP="00BC1904">
      <w:pPr>
        <w:spacing w:after="120"/>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B</w:t>
      </w:r>
      <w:r>
        <w:rPr>
          <w:rFonts w:ascii="Calibri" w:eastAsia="SimSun" w:hAnsi="Calibri" w:hint="eastAsia"/>
          <w:color w:val="000000" w:themeColor="text1"/>
          <w:lang w:eastAsia="zh-TW"/>
        </w:rPr>
        <w:t>顯示增長更加迅速的情況。</w:t>
      </w:r>
    </w:p>
    <w:p w14:paraId="0DD861B0" w14:textId="592D550D" w:rsidR="134DEFB0" w:rsidRDefault="000541EB" w:rsidP="00863AC2">
      <w:pPr>
        <w:jc w:val="center"/>
        <w:rPr>
          <w:rFonts w:ascii="Calibri" w:eastAsia="SimSun" w:hAnsi="Calibri" w:cs="Calibri"/>
          <w:b/>
          <w:bCs/>
          <w:color w:val="000000" w:themeColor="text1"/>
        </w:rPr>
      </w:pPr>
      <w:r>
        <w:rPr>
          <w:rFonts w:ascii="Calibri" w:eastAsia="SimSun" w:hAnsi="Calibri" w:hint="eastAsia"/>
          <w:b/>
          <w:bCs/>
          <w:color w:val="538135" w:themeColor="accent6" w:themeShade="BF"/>
          <w:lang w:eastAsia="zh-TW"/>
        </w:rPr>
        <w:t>如果您需要更多資訊以便提供回饋，請聯繫：</w:t>
      </w:r>
      <w:r w:rsidR="134DEFB0">
        <w:rPr>
          <w:rFonts w:ascii="Calibri" w:eastAsia="SimSun" w:hAnsi="Calibri" w:hint="eastAsia"/>
          <w:b/>
          <w:bCs/>
          <w:color w:val="538135" w:themeColor="accent6" w:themeShade="BF"/>
        </w:rPr>
        <w:br/>
      </w:r>
      <w:r>
        <w:rPr>
          <w:rFonts w:ascii="Calibri" w:eastAsia="SimSun" w:hAnsi="Calibri"/>
          <w:b/>
          <w:bCs/>
          <w:color w:val="538135" w:themeColor="accent6" w:themeShade="BF"/>
          <w:lang w:eastAsia="zh-TW"/>
        </w:rPr>
        <w:t xml:space="preserve">Lisa Bateman, </w:t>
      </w:r>
      <w:r>
        <w:rPr>
          <w:rFonts w:ascii="Calibri" w:eastAsia="SimSun" w:hAnsi="Calibri" w:hint="eastAsia"/>
          <w:b/>
          <w:bCs/>
          <w:lang w:eastAsia="zh-TW"/>
        </w:rPr>
        <w:t>教育專家，郵箱</w:t>
      </w:r>
      <w:r>
        <w:rPr>
          <w:rFonts w:ascii="Calibri" w:eastAsia="SimSun" w:hAnsi="Calibri"/>
          <w:b/>
          <w:bCs/>
          <w:color w:val="000000" w:themeColor="text1"/>
          <w:lang w:eastAsia="zh-TW"/>
        </w:rPr>
        <w:t xml:space="preserve"> </w:t>
      </w:r>
      <w:r>
        <w:rPr>
          <w:rStyle w:val="Hyperlink"/>
          <w:rFonts w:ascii="Calibri" w:eastAsia="SimSun" w:hAnsi="Calibri"/>
          <w:b/>
          <w:bCs/>
          <w:lang w:eastAsia="zh-TW"/>
        </w:rPr>
        <w:t>lisa.bateman@state.or.us</w:t>
      </w:r>
      <w:r>
        <w:rPr>
          <w:rFonts w:ascii="Calibri" w:eastAsia="SimSun" w:hAnsi="Calibri"/>
          <w:b/>
          <w:bCs/>
          <w:color w:val="000000" w:themeColor="text1"/>
          <w:lang w:eastAsia="zh-TW"/>
        </w:rPr>
        <w:t>.</w:t>
      </w:r>
    </w:p>
    <w:sectPr w:rsidR="134DEFB0">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4D70" w14:textId="732C0E25" w:rsidR="11458547" w:rsidRDefault="000541EB" w:rsidP="11458547">
    <w:pPr>
      <w:pStyle w:val="Footer"/>
    </w:pPr>
    <w:r>
      <w:rPr>
        <w:rFonts w:hint="eastAsia"/>
        <w:lang w:eastAsia="zh-TW"/>
      </w:rPr>
      <w:t>州表現計畫概況介紹</w:t>
    </w:r>
    <w:r>
      <w:rPr>
        <w:lang w:eastAsia="zh-TW"/>
      </w:rPr>
      <w:t>-</w:t>
    </w:r>
    <w:r>
      <w:rPr>
        <w:rFonts w:hint="eastAsia"/>
        <w:lang w:eastAsia="zh-TW"/>
      </w:rPr>
      <w:t>指標</w:t>
    </w:r>
    <w:r>
      <w:rPr>
        <w:lang w:eastAsia="zh-TW"/>
      </w:rPr>
      <w:t xml:space="preserve"> B4A</w:t>
    </w:r>
    <w:r>
      <w:rPr>
        <w:lang w:eastAsia="zh-TW"/>
      </w:rPr>
      <w:tab/>
    </w:r>
    <w:r>
      <w:rPr>
        <w:lang w:eastAsia="zh-TW"/>
      </w:rPr>
      <w:tab/>
    </w:r>
    <w:r w:rsidR="00BB6EA2">
      <w:rPr>
        <w:rFonts w:hint="eastAsia"/>
      </w:rPr>
      <w:fldChar w:fldCharType="begin"/>
    </w:r>
    <w:r w:rsidR="00BB6EA2">
      <w:instrText xml:space="preserve"> PAGE   \* MERGEFORMAT </w:instrText>
    </w:r>
    <w:r w:rsidR="00BB6EA2">
      <w:rPr>
        <w:rFonts w:hint="eastAsia"/>
      </w:rPr>
      <w:fldChar w:fldCharType="separate"/>
    </w:r>
    <w:r w:rsidR="0056159E">
      <w:rPr>
        <w:noProof/>
        <w:lang w:eastAsia="zh-TW"/>
      </w:rPr>
      <w:t>2</w:t>
    </w:r>
    <w:r w:rsidR="00BB6EA2">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E6D79B9"/>
    <w:multiLevelType w:val="hybridMultilevel"/>
    <w:tmpl w:val="F0CEB0B4"/>
    <w:lvl w:ilvl="0" w:tplc="64A464E2">
      <w:start w:val="1"/>
      <w:numFmt w:val="bullet"/>
      <w:lvlText w:val=""/>
      <w:lvlJc w:val="left"/>
      <w:pPr>
        <w:ind w:left="720" w:hanging="360"/>
      </w:pPr>
      <w:rPr>
        <w:rFonts w:ascii="Symbol" w:hAnsi="Symbol" w:hint="default"/>
      </w:rPr>
    </w:lvl>
    <w:lvl w:ilvl="1" w:tplc="B31CE896">
      <w:start w:val="1"/>
      <w:numFmt w:val="bullet"/>
      <w:lvlText w:val="o"/>
      <w:lvlJc w:val="left"/>
      <w:pPr>
        <w:ind w:left="1440" w:hanging="360"/>
      </w:pPr>
      <w:rPr>
        <w:rFonts w:ascii="Courier New" w:hAnsi="Courier New" w:hint="default"/>
      </w:rPr>
    </w:lvl>
    <w:lvl w:ilvl="2" w:tplc="6ECAB0AC">
      <w:start w:val="1"/>
      <w:numFmt w:val="bullet"/>
      <w:lvlText w:val=""/>
      <w:lvlJc w:val="left"/>
      <w:pPr>
        <w:ind w:left="2160" w:hanging="360"/>
      </w:pPr>
      <w:rPr>
        <w:rFonts w:ascii="Wingdings" w:hAnsi="Wingdings" w:hint="default"/>
      </w:rPr>
    </w:lvl>
    <w:lvl w:ilvl="3" w:tplc="2E72509E">
      <w:start w:val="1"/>
      <w:numFmt w:val="bullet"/>
      <w:lvlText w:val=""/>
      <w:lvlJc w:val="left"/>
      <w:pPr>
        <w:ind w:left="2880" w:hanging="360"/>
      </w:pPr>
      <w:rPr>
        <w:rFonts w:ascii="Symbol" w:hAnsi="Symbol" w:hint="default"/>
      </w:rPr>
    </w:lvl>
    <w:lvl w:ilvl="4" w:tplc="456CA1DC">
      <w:start w:val="1"/>
      <w:numFmt w:val="bullet"/>
      <w:lvlText w:val="o"/>
      <w:lvlJc w:val="left"/>
      <w:pPr>
        <w:ind w:left="3600" w:hanging="360"/>
      </w:pPr>
      <w:rPr>
        <w:rFonts w:ascii="Courier New" w:hAnsi="Courier New" w:hint="default"/>
      </w:rPr>
    </w:lvl>
    <w:lvl w:ilvl="5" w:tplc="F59297F0">
      <w:start w:val="1"/>
      <w:numFmt w:val="bullet"/>
      <w:lvlText w:val=""/>
      <w:lvlJc w:val="left"/>
      <w:pPr>
        <w:ind w:left="4320" w:hanging="360"/>
      </w:pPr>
      <w:rPr>
        <w:rFonts w:ascii="Wingdings" w:hAnsi="Wingdings" w:hint="default"/>
      </w:rPr>
    </w:lvl>
    <w:lvl w:ilvl="6" w:tplc="61B6F44C">
      <w:start w:val="1"/>
      <w:numFmt w:val="bullet"/>
      <w:lvlText w:val=""/>
      <w:lvlJc w:val="left"/>
      <w:pPr>
        <w:ind w:left="5040" w:hanging="360"/>
      </w:pPr>
      <w:rPr>
        <w:rFonts w:ascii="Symbol" w:hAnsi="Symbol" w:hint="default"/>
      </w:rPr>
    </w:lvl>
    <w:lvl w:ilvl="7" w:tplc="8D9ACD00">
      <w:start w:val="1"/>
      <w:numFmt w:val="bullet"/>
      <w:lvlText w:val="o"/>
      <w:lvlJc w:val="left"/>
      <w:pPr>
        <w:ind w:left="5760" w:hanging="360"/>
      </w:pPr>
      <w:rPr>
        <w:rFonts w:ascii="Courier New" w:hAnsi="Courier New" w:hint="default"/>
      </w:rPr>
    </w:lvl>
    <w:lvl w:ilvl="8" w:tplc="08F84D88">
      <w:start w:val="1"/>
      <w:numFmt w:val="bullet"/>
      <w:lvlText w:val=""/>
      <w:lvlJc w:val="left"/>
      <w:pPr>
        <w:ind w:left="6480" w:hanging="360"/>
      </w:pPr>
      <w:rPr>
        <w:rFonts w:ascii="Wingdings" w:hAnsi="Wingdings" w:hint="default"/>
      </w:rPr>
    </w:lvl>
  </w:abstractNum>
  <w:abstractNum w:abstractNumId="4"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5"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766BB"/>
    <w:multiLevelType w:val="hybridMultilevel"/>
    <w:tmpl w:val="9E407996"/>
    <w:lvl w:ilvl="0" w:tplc="126879B8">
      <w:start w:val="1"/>
      <w:numFmt w:val="bullet"/>
      <w:lvlText w:val=""/>
      <w:lvlJc w:val="left"/>
      <w:pPr>
        <w:ind w:left="720" w:hanging="360"/>
      </w:pPr>
      <w:rPr>
        <w:rFonts w:ascii="Symbol" w:hAnsi="Symbol" w:hint="default"/>
      </w:rPr>
    </w:lvl>
    <w:lvl w:ilvl="1" w:tplc="F8EC3D40">
      <w:start w:val="1"/>
      <w:numFmt w:val="bullet"/>
      <w:lvlText w:val="o"/>
      <w:lvlJc w:val="left"/>
      <w:pPr>
        <w:ind w:left="1440" w:hanging="360"/>
      </w:pPr>
      <w:rPr>
        <w:rFonts w:ascii="Courier New" w:hAnsi="Courier New" w:hint="default"/>
      </w:rPr>
    </w:lvl>
    <w:lvl w:ilvl="2" w:tplc="50B82F96">
      <w:start w:val="1"/>
      <w:numFmt w:val="bullet"/>
      <w:lvlText w:val=""/>
      <w:lvlJc w:val="left"/>
      <w:pPr>
        <w:ind w:left="2160" w:hanging="360"/>
      </w:pPr>
      <w:rPr>
        <w:rFonts w:ascii="Wingdings" w:hAnsi="Wingdings" w:hint="default"/>
      </w:rPr>
    </w:lvl>
    <w:lvl w:ilvl="3" w:tplc="1624A04C">
      <w:start w:val="1"/>
      <w:numFmt w:val="bullet"/>
      <w:lvlText w:val=""/>
      <w:lvlJc w:val="left"/>
      <w:pPr>
        <w:ind w:left="2880" w:hanging="360"/>
      </w:pPr>
      <w:rPr>
        <w:rFonts w:ascii="Symbol" w:hAnsi="Symbol" w:hint="default"/>
      </w:rPr>
    </w:lvl>
    <w:lvl w:ilvl="4" w:tplc="20385178">
      <w:start w:val="1"/>
      <w:numFmt w:val="bullet"/>
      <w:lvlText w:val="o"/>
      <w:lvlJc w:val="left"/>
      <w:pPr>
        <w:ind w:left="3600" w:hanging="360"/>
      </w:pPr>
      <w:rPr>
        <w:rFonts w:ascii="Courier New" w:hAnsi="Courier New" w:hint="default"/>
      </w:rPr>
    </w:lvl>
    <w:lvl w:ilvl="5" w:tplc="DCDA59CA">
      <w:start w:val="1"/>
      <w:numFmt w:val="bullet"/>
      <w:lvlText w:val=""/>
      <w:lvlJc w:val="left"/>
      <w:pPr>
        <w:ind w:left="4320" w:hanging="360"/>
      </w:pPr>
      <w:rPr>
        <w:rFonts w:ascii="Wingdings" w:hAnsi="Wingdings" w:hint="default"/>
      </w:rPr>
    </w:lvl>
    <w:lvl w:ilvl="6" w:tplc="04EE8CE4">
      <w:start w:val="1"/>
      <w:numFmt w:val="bullet"/>
      <w:lvlText w:val=""/>
      <w:lvlJc w:val="left"/>
      <w:pPr>
        <w:ind w:left="5040" w:hanging="360"/>
      </w:pPr>
      <w:rPr>
        <w:rFonts w:ascii="Symbol" w:hAnsi="Symbol" w:hint="default"/>
      </w:rPr>
    </w:lvl>
    <w:lvl w:ilvl="7" w:tplc="75A22714">
      <w:start w:val="1"/>
      <w:numFmt w:val="bullet"/>
      <w:lvlText w:val="o"/>
      <w:lvlJc w:val="left"/>
      <w:pPr>
        <w:ind w:left="5760" w:hanging="360"/>
      </w:pPr>
      <w:rPr>
        <w:rFonts w:ascii="Courier New" w:hAnsi="Courier New" w:hint="default"/>
      </w:rPr>
    </w:lvl>
    <w:lvl w:ilvl="8" w:tplc="73D29E7E">
      <w:start w:val="1"/>
      <w:numFmt w:val="bullet"/>
      <w:lvlText w:val=""/>
      <w:lvlJc w:val="left"/>
      <w:pPr>
        <w:ind w:left="6480" w:hanging="360"/>
      </w:pPr>
      <w:rPr>
        <w:rFonts w:ascii="Wingdings" w:hAnsi="Wingdings" w:hint="default"/>
      </w:r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4"/>
  </w:num>
  <w:num w:numId="6">
    <w:abstractNumId w:val="0"/>
  </w:num>
  <w:num w:numId="7">
    <w:abstractNumId w:val="2"/>
  </w:num>
  <w:num w:numId="8">
    <w:abstractNumId w:val="8"/>
  </w:num>
  <w:num w:numId="9">
    <w:abstractNumId w:val="9"/>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41EB"/>
    <w:rsid w:val="000B7B51"/>
    <w:rsid w:val="000E4FA0"/>
    <w:rsid w:val="001010B9"/>
    <w:rsid w:val="001B52CA"/>
    <w:rsid w:val="001D55B0"/>
    <w:rsid w:val="0022411C"/>
    <w:rsid w:val="0026797A"/>
    <w:rsid w:val="0027587A"/>
    <w:rsid w:val="002A100A"/>
    <w:rsid w:val="002D66CC"/>
    <w:rsid w:val="00300812"/>
    <w:rsid w:val="00300D8D"/>
    <w:rsid w:val="00300F93"/>
    <w:rsid w:val="00327EB0"/>
    <w:rsid w:val="00344E90"/>
    <w:rsid w:val="003554B6"/>
    <w:rsid w:val="0035696D"/>
    <w:rsid w:val="00356BE5"/>
    <w:rsid w:val="00373050"/>
    <w:rsid w:val="003931A2"/>
    <w:rsid w:val="003B2D38"/>
    <w:rsid w:val="003F29AA"/>
    <w:rsid w:val="00458732"/>
    <w:rsid w:val="00472F13"/>
    <w:rsid w:val="00485E63"/>
    <w:rsid w:val="00496DD9"/>
    <w:rsid w:val="004C5ABE"/>
    <w:rsid w:val="004F6C8F"/>
    <w:rsid w:val="00506FC3"/>
    <w:rsid w:val="00551272"/>
    <w:rsid w:val="0056159E"/>
    <w:rsid w:val="0059714F"/>
    <w:rsid w:val="005A7631"/>
    <w:rsid w:val="005D6523"/>
    <w:rsid w:val="006231FB"/>
    <w:rsid w:val="00665A1E"/>
    <w:rsid w:val="00686AA4"/>
    <w:rsid w:val="006B3525"/>
    <w:rsid w:val="00770DA0"/>
    <w:rsid w:val="007911BE"/>
    <w:rsid w:val="00800077"/>
    <w:rsid w:val="00800630"/>
    <w:rsid w:val="00863AC2"/>
    <w:rsid w:val="008707C4"/>
    <w:rsid w:val="00872B58"/>
    <w:rsid w:val="00872BA4"/>
    <w:rsid w:val="00887339"/>
    <w:rsid w:val="008E65C5"/>
    <w:rsid w:val="00963CE4"/>
    <w:rsid w:val="00976EA9"/>
    <w:rsid w:val="00980D00"/>
    <w:rsid w:val="009A23AC"/>
    <w:rsid w:val="009C5702"/>
    <w:rsid w:val="00A015AF"/>
    <w:rsid w:val="00A106D4"/>
    <w:rsid w:val="00A42905"/>
    <w:rsid w:val="00AB54F2"/>
    <w:rsid w:val="00AD794D"/>
    <w:rsid w:val="00AF0B40"/>
    <w:rsid w:val="00B30905"/>
    <w:rsid w:val="00B51C91"/>
    <w:rsid w:val="00B542E4"/>
    <w:rsid w:val="00B56658"/>
    <w:rsid w:val="00B77D28"/>
    <w:rsid w:val="00B87EF5"/>
    <w:rsid w:val="00B9167F"/>
    <w:rsid w:val="00BB0B34"/>
    <w:rsid w:val="00BB6EA2"/>
    <w:rsid w:val="00BC1904"/>
    <w:rsid w:val="00BD5AD6"/>
    <w:rsid w:val="00BD6B54"/>
    <w:rsid w:val="00C06C4E"/>
    <w:rsid w:val="00C41661"/>
    <w:rsid w:val="00C43BD2"/>
    <w:rsid w:val="00C53B82"/>
    <w:rsid w:val="00CA1046"/>
    <w:rsid w:val="00CA3BE5"/>
    <w:rsid w:val="00CB4075"/>
    <w:rsid w:val="00CD2C98"/>
    <w:rsid w:val="00D330A6"/>
    <w:rsid w:val="00D71053"/>
    <w:rsid w:val="00D762C9"/>
    <w:rsid w:val="00D9277C"/>
    <w:rsid w:val="00DB37A5"/>
    <w:rsid w:val="00DC5156"/>
    <w:rsid w:val="00DD086F"/>
    <w:rsid w:val="00DE49CF"/>
    <w:rsid w:val="00E0137B"/>
    <w:rsid w:val="00E441BE"/>
    <w:rsid w:val="00E63F8D"/>
    <w:rsid w:val="00EA4E02"/>
    <w:rsid w:val="00EC75DD"/>
    <w:rsid w:val="00EF0C9F"/>
    <w:rsid w:val="00F14F43"/>
    <w:rsid w:val="00F46949"/>
    <w:rsid w:val="00F84723"/>
    <w:rsid w:val="00FB5DC0"/>
    <w:rsid w:val="00FC0AA2"/>
    <w:rsid w:val="017A6FA3"/>
    <w:rsid w:val="01ED20D3"/>
    <w:rsid w:val="02251F92"/>
    <w:rsid w:val="0365F255"/>
    <w:rsid w:val="044F1072"/>
    <w:rsid w:val="045BF1AD"/>
    <w:rsid w:val="05A836D4"/>
    <w:rsid w:val="0643A2AB"/>
    <w:rsid w:val="06953851"/>
    <w:rsid w:val="07C9D6E0"/>
    <w:rsid w:val="07D04B2D"/>
    <w:rsid w:val="081C60CA"/>
    <w:rsid w:val="082CC511"/>
    <w:rsid w:val="09335D90"/>
    <w:rsid w:val="0A003D7F"/>
    <w:rsid w:val="0A2CDC34"/>
    <w:rsid w:val="0AAD7BC6"/>
    <w:rsid w:val="0ABE3CF3"/>
    <w:rsid w:val="0B11FEFA"/>
    <w:rsid w:val="0B773283"/>
    <w:rsid w:val="0B8E293D"/>
    <w:rsid w:val="0B99F1C1"/>
    <w:rsid w:val="0C2DCDBC"/>
    <w:rsid w:val="0C34B4F6"/>
    <w:rsid w:val="0C8156BD"/>
    <w:rsid w:val="0CD70CBB"/>
    <w:rsid w:val="0D0A4BA7"/>
    <w:rsid w:val="0E04191D"/>
    <w:rsid w:val="0E16BC08"/>
    <w:rsid w:val="0EBFA8C5"/>
    <w:rsid w:val="0ECBA6C1"/>
    <w:rsid w:val="0F2C8211"/>
    <w:rsid w:val="0FF4EC02"/>
    <w:rsid w:val="100626D9"/>
    <w:rsid w:val="1039C8F6"/>
    <w:rsid w:val="10508FBE"/>
    <w:rsid w:val="11458547"/>
    <w:rsid w:val="118102CB"/>
    <w:rsid w:val="118B1692"/>
    <w:rsid w:val="12CF9C68"/>
    <w:rsid w:val="12ECAFE9"/>
    <w:rsid w:val="13031F34"/>
    <w:rsid w:val="1304DF78"/>
    <w:rsid w:val="134DEFB0"/>
    <w:rsid w:val="137D2887"/>
    <w:rsid w:val="13DAC150"/>
    <w:rsid w:val="143B419E"/>
    <w:rsid w:val="148FBD78"/>
    <w:rsid w:val="15CE0E12"/>
    <w:rsid w:val="15E78A03"/>
    <w:rsid w:val="1651B394"/>
    <w:rsid w:val="1666A711"/>
    <w:rsid w:val="16F3CB71"/>
    <w:rsid w:val="1711FEE5"/>
    <w:rsid w:val="17495722"/>
    <w:rsid w:val="19776AF4"/>
    <w:rsid w:val="19CC8DFF"/>
    <w:rsid w:val="1ABF8DB2"/>
    <w:rsid w:val="1B7C5E0B"/>
    <w:rsid w:val="1BB44B0B"/>
    <w:rsid w:val="1E2A045C"/>
    <w:rsid w:val="1E97D5E6"/>
    <w:rsid w:val="1F270DDB"/>
    <w:rsid w:val="1F7457EA"/>
    <w:rsid w:val="1F95CBF4"/>
    <w:rsid w:val="1F9C634C"/>
    <w:rsid w:val="1FD708CF"/>
    <w:rsid w:val="201CF74B"/>
    <w:rsid w:val="213833AD"/>
    <w:rsid w:val="21966300"/>
    <w:rsid w:val="234DB5E1"/>
    <w:rsid w:val="236B4709"/>
    <w:rsid w:val="2458AF87"/>
    <w:rsid w:val="255201E7"/>
    <w:rsid w:val="25807E8A"/>
    <w:rsid w:val="25EDCB23"/>
    <w:rsid w:val="275154E9"/>
    <w:rsid w:val="27576571"/>
    <w:rsid w:val="2822FAC6"/>
    <w:rsid w:val="282E2091"/>
    <w:rsid w:val="2AA4BDA7"/>
    <w:rsid w:val="2AC8B079"/>
    <w:rsid w:val="2AD1A3FE"/>
    <w:rsid w:val="2B71373A"/>
    <w:rsid w:val="2C6CDE68"/>
    <w:rsid w:val="2D51159C"/>
    <w:rsid w:val="2D7FEF55"/>
    <w:rsid w:val="2E410E00"/>
    <w:rsid w:val="2E477674"/>
    <w:rsid w:val="2E952437"/>
    <w:rsid w:val="2EECE5FD"/>
    <w:rsid w:val="2FF0FDBA"/>
    <w:rsid w:val="3041410F"/>
    <w:rsid w:val="30CDEACE"/>
    <w:rsid w:val="30E407B3"/>
    <w:rsid w:val="31D54F44"/>
    <w:rsid w:val="328E971D"/>
    <w:rsid w:val="32B1B4D3"/>
    <w:rsid w:val="32E87EF7"/>
    <w:rsid w:val="3378E1D1"/>
    <w:rsid w:val="351280C1"/>
    <w:rsid w:val="38171751"/>
    <w:rsid w:val="386E153C"/>
    <w:rsid w:val="38B71D6A"/>
    <w:rsid w:val="39648390"/>
    <w:rsid w:val="396D877D"/>
    <w:rsid w:val="39725B81"/>
    <w:rsid w:val="39F1CCBC"/>
    <w:rsid w:val="3A6FAE9D"/>
    <w:rsid w:val="3C0A79D6"/>
    <w:rsid w:val="3C0B83B4"/>
    <w:rsid w:val="3CD7CCF5"/>
    <w:rsid w:val="3CE68E41"/>
    <w:rsid w:val="3D2BDA56"/>
    <w:rsid w:val="3E64F3E0"/>
    <w:rsid w:val="3EA8BBDF"/>
    <w:rsid w:val="3EFAF9E1"/>
    <w:rsid w:val="404F61D3"/>
    <w:rsid w:val="41B2989F"/>
    <w:rsid w:val="427FB747"/>
    <w:rsid w:val="428E0291"/>
    <w:rsid w:val="433DFD85"/>
    <w:rsid w:val="43596AE6"/>
    <w:rsid w:val="439FDF39"/>
    <w:rsid w:val="43F249A9"/>
    <w:rsid w:val="45222427"/>
    <w:rsid w:val="45C3E30F"/>
    <w:rsid w:val="46837A4F"/>
    <w:rsid w:val="476173B4"/>
    <w:rsid w:val="47C83790"/>
    <w:rsid w:val="47CEB289"/>
    <w:rsid w:val="48378762"/>
    <w:rsid w:val="48E7518B"/>
    <w:rsid w:val="49F4EE38"/>
    <w:rsid w:val="4A194456"/>
    <w:rsid w:val="4A54C733"/>
    <w:rsid w:val="4A9B697A"/>
    <w:rsid w:val="4AB86F41"/>
    <w:rsid w:val="4B11191C"/>
    <w:rsid w:val="4B4F307A"/>
    <w:rsid w:val="4BBB7754"/>
    <w:rsid w:val="4CCE58BB"/>
    <w:rsid w:val="4D7D2065"/>
    <w:rsid w:val="4DC759FD"/>
    <w:rsid w:val="4E6A8F31"/>
    <w:rsid w:val="4F3BF885"/>
    <w:rsid w:val="4FEDB4EA"/>
    <w:rsid w:val="507C7E08"/>
    <w:rsid w:val="5111616E"/>
    <w:rsid w:val="51370D45"/>
    <w:rsid w:val="51F994DB"/>
    <w:rsid w:val="5216D46F"/>
    <w:rsid w:val="5279CFC6"/>
    <w:rsid w:val="52BF22C0"/>
    <w:rsid w:val="53EEDAD6"/>
    <w:rsid w:val="547E444A"/>
    <w:rsid w:val="547FFAE0"/>
    <w:rsid w:val="557B9F8C"/>
    <w:rsid w:val="557DB8F8"/>
    <w:rsid w:val="5625A594"/>
    <w:rsid w:val="56277CA2"/>
    <w:rsid w:val="56B4A16F"/>
    <w:rsid w:val="585071D0"/>
    <w:rsid w:val="5878D708"/>
    <w:rsid w:val="59405C85"/>
    <w:rsid w:val="594A8349"/>
    <w:rsid w:val="594D45D0"/>
    <w:rsid w:val="59BADF24"/>
    <w:rsid w:val="5ADC2CE6"/>
    <w:rsid w:val="5BB66BB1"/>
    <w:rsid w:val="5BCF6986"/>
    <w:rsid w:val="5C37FD43"/>
    <w:rsid w:val="5CBBFCC9"/>
    <w:rsid w:val="5E4C9A5B"/>
    <w:rsid w:val="5F88197C"/>
    <w:rsid w:val="6002AB7F"/>
    <w:rsid w:val="6010CC80"/>
    <w:rsid w:val="6079BFEB"/>
    <w:rsid w:val="62059022"/>
    <w:rsid w:val="62289522"/>
    <w:rsid w:val="6240FA37"/>
    <w:rsid w:val="634338B4"/>
    <w:rsid w:val="6444DFAF"/>
    <w:rsid w:val="6551DB58"/>
    <w:rsid w:val="6575746A"/>
    <w:rsid w:val="65943897"/>
    <w:rsid w:val="65DFD2A5"/>
    <w:rsid w:val="65E9D2E5"/>
    <w:rsid w:val="66777201"/>
    <w:rsid w:val="66D90145"/>
    <w:rsid w:val="67A7E7A3"/>
    <w:rsid w:val="693027CC"/>
    <w:rsid w:val="695994BF"/>
    <w:rsid w:val="695A588D"/>
    <w:rsid w:val="6A5506BC"/>
    <w:rsid w:val="6AF553B1"/>
    <w:rsid w:val="6B2CB8EF"/>
    <w:rsid w:val="6B5ECC4A"/>
    <w:rsid w:val="6BE21697"/>
    <w:rsid w:val="6C8AFDEF"/>
    <w:rsid w:val="6CBDC2CC"/>
    <w:rsid w:val="6D11706C"/>
    <w:rsid w:val="6D1B4991"/>
    <w:rsid w:val="6D33F6A2"/>
    <w:rsid w:val="6E3A6498"/>
    <w:rsid w:val="6E79A38F"/>
    <w:rsid w:val="6F8C3B8E"/>
    <w:rsid w:val="6F923161"/>
    <w:rsid w:val="6F9DEAC1"/>
    <w:rsid w:val="700CE321"/>
    <w:rsid w:val="70350FDD"/>
    <w:rsid w:val="70622CEC"/>
    <w:rsid w:val="7222B9C5"/>
    <w:rsid w:val="73B2F60B"/>
    <w:rsid w:val="73F7DBF8"/>
    <w:rsid w:val="75B1BA69"/>
    <w:rsid w:val="761FB338"/>
    <w:rsid w:val="768742F6"/>
    <w:rsid w:val="790F151A"/>
    <w:rsid w:val="79577504"/>
    <w:rsid w:val="798C1E3F"/>
    <w:rsid w:val="79F41046"/>
    <w:rsid w:val="7ADECC18"/>
    <w:rsid w:val="7B475C77"/>
    <w:rsid w:val="7BDE2E06"/>
    <w:rsid w:val="7D5128D7"/>
    <w:rsid w:val="7D7C76F4"/>
    <w:rsid w:val="7D880A16"/>
    <w:rsid w:val="7DF0AAE8"/>
    <w:rsid w:val="7F204854"/>
    <w:rsid w:val="7FE72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eastAsia="SimSu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F46949"/>
    <w:rPr>
      <w:b/>
      <w:bCs/>
    </w:rPr>
  </w:style>
  <w:style w:type="character" w:customStyle="1" w:styleId="CommentSubjectChar">
    <w:name w:val="Comment Subject Char"/>
    <w:basedOn w:val="CommentTextChar"/>
    <w:link w:val="CommentSubject"/>
    <w:uiPriority w:val="99"/>
    <w:semiHidden/>
    <w:rsid w:val="00F46949"/>
    <w:rPr>
      <w:b/>
      <w:bCs/>
      <w:sz w:val="20"/>
      <w:szCs w:val="20"/>
    </w:rPr>
  </w:style>
  <w:style w:type="paragraph" w:styleId="NormalWeb">
    <w:name w:val="Normal (Web)"/>
    <w:basedOn w:val="Normal"/>
    <w:uiPriority w:val="99"/>
    <w:semiHidden/>
    <w:unhideWhenUsed/>
    <w:rsid w:val="008006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f3071e8bc3114363b078314a6e57726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yearny-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1" i="0" u="none" strike="noStrike" kern="1200" spc="0" baseline="0">
                <a:solidFill>
                  <a:srgbClr val="1B75BC"/>
                </a:solidFill>
                <a:latin typeface="+mn-lt"/>
                <a:ea typeface="+mn-ea"/>
                <a:cs typeface="+mn-cs"/>
              </a:rPr>
              <a:t>俄勒岡州的指標</a:t>
            </a:r>
            <a:r>
              <a:rPr lang="en-US" altLang="zh-CN" sz="1400" b="1" i="0" u="none" strike="noStrike" kern="1200" spc="0" baseline="0">
                <a:solidFill>
                  <a:srgbClr val="1B75BC"/>
                </a:solidFill>
                <a:latin typeface="+mn-lt"/>
                <a:ea typeface="+mn-ea"/>
                <a:cs typeface="+mn-cs"/>
              </a:rPr>
              <a:t> B4A</a:t>
            </a:r>
            <a:r>
              <a:rPr lang="zh-CN" altLang="en-US" sz="1400" b="1" i="0" u="none" strike="noStrike" kern="1200" spc="0" baseline="0">
                <a:solidFill>
                  <a:srgbClr val="1B75BC"/>
                </a:solidFill>
                <a:latin typeface="+mn-lt"/>
                <a:ea typeface="+mn-ea"/>
                <a:cs typeface="+mn-cs"/>
              </a:rPr>
              <a:t>（停學</a:t>
            </a:r>
            <a:r>
              <a:rPr lang="en-US" altLang="zh-CN" sz="1400" b="1" i="0" u="none" strike="noStrike" kern="1200" spc="0" baseline="0">
                <a:solidFill>
                  <a:srgbClr val="1B75BC"/>
                </a:solidFill>
                <a:latin typeface="+mn-lt"/>
                <a:ea typeface="+mn-ea"/>
                <a:cs typeface="+mn-cs"/>
              </a:rPr>
              <a:t>/</a:t>
            </a:r>
            <a:r>
              <a:rPr lang="zh-CN" altLang="en-US" sz="1400" b="1" i="0" u="none" strike="noStrike" kern="1200" spc="0" baseline="0">
                <a:solidFill>
                  <a:srgbClr val="1B75BC"/>
                </a:solidFill>
                <a:latin typeface="+mn-lt"/>
                <a:ea typeface="+mn-ea"/>
                <a:cs typeface="+mn-cs"/>
              </a:rPr>
              <a:t>開除）資料</a:t>
            </a:r>
            <a:endParaRPr lang="zh-CN" b="1">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B4A!$A$2</c:f>
              <c:strCache>
                <c:ptCount val="1"/>
                <c:pt idx="0">
                  <c:v>Data</c:v>
                </c:pt>
              </c:strCache>
            </c:strRef>
          </c:tx>
          <c:spPr>
            <a:ln w="28575" cap="rnd">
              <a:solidFill>
                <a:srgbClr val="1B75BC"/>
              </a:solidFill>
              <a:round/>
            </a:ln>
            <a:effectLst/>
          </c:spPr>
          <c:marker>
            <c:symbol val="none"/>
          </c:marker>
          <c:dLbls>
            <c:dLbl>
              <c:idx val="0"/>
              <c:layout>
                <c:manualLayout>
                  <c:x val="-4.4456279584309387E-2"/>
                  <c:y val="-3.64407939152075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1-427F-89F8-A20F0FD84EFE}"/>
                </c:ext>
              </c:extLst>
            </c:dLbl>
            <c:dLbl>
              <c:idx val="1"/>
              <c:layout>
                <c:manualLayout>
                  <c:x val="-5.6029368281796874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1-427F-89F8-A20F0FD84EFE}"/>
                </c:ext>
              </c:extLst>
            </c:dLbl>
            <c:dLbl>
              <c:idx val="3"/>
              <c:layout>
                <c:manualLayout>
                  <c:x val="-3.4339943310281895E-2"/>
                  <c:y val="6.50256762101075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451-427F-89F8-A20F0FD84EFE}"/>
                </c:ext>
              </c:extLst>
            </c:dLbl>
            <c:dLbl>
              <c:idx val="4"/>
              <c:layout>
                <c:manualLayout>
                  <c:x val="-5.0526081348725882E-2"/>
                  <c:y val="3.64882314873625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B4A!$B$2:$H$2</c:f>
              <c:numCache>
                <c:formatCode>0.00%</c:formatCode>
                <c:ptCount val="7"/>
                <c:pt idx="0">
                  <c:v>0.1371</c:v>
                </c:pt>
                <c:pt idx="1">
                  <c:v>8.6300000000000002E-2</c:v>
                </c:pt>
                <c:pt idx="3">
                  <c:v>0.62960000000000005</c:v>
                </c:pt>
                <c:pt idx="4">
                  <c:v>0.66669999999999996</c:v>
                </c:pt>
                <c:pt idx="5">
                  <c:v>0.53129999999999999</c:v>
                </c:pt>
                <c:pt idx="6">
                  <c:v>0.6774</c:v>
                </c:pt>
              </c:numCache>
            </c:numRef>
          </c:val>
          <c:smooth val="0"/>
          <c:extLst>
            <c:ext xmlns:c16="http://schemas.microsoft.com/office/drawing/2014/chart" uri="{C3380CC4-5D6E-409C-BE32-E72D297353CC}">
              <c16:uniqueId val="{00000004-5451-427F-89F8-A20F0FD84EFE}"/>
            </c:ext>
          </c:extLst>
        </c:ser>
        <c:ser>
          <c:idx val="1"/>
          <c:order val="1"/>
          <c:tx>
            <c:strRef>
              <c:f>B4A!$A$3</c:f>
              <c:strCache>
                <c:ptCount val="1"/>
                <c:pt idx="0">
                  <c:v>Target &lt;=</c:v>
                </c:pt>
              </c:strCache>
            </c:strRef>
          </c:tx>
          <c:spPr>
            <a:ln w="28575" cap="rnd">
              <a:solidFill>
                <a:srgbClr val="408740"/>
              </a:solidFill>
              <a:round/>
            </a:ln>
            <a:effectLst/>
          </c:spPr>
          <c:marker>
            <c:symbol val="none"/>
          </c:marker>
          <c:dLbls>
            <c:dLbl>
              <c:idx val="0"/>
              <c:layout>
                <c:manualLayout>
                  <c:x val="-4.046024709987741E-2"/>
                  <c:y val="-2.69283123409594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451-427F-89F8-A20F0FD84EFE}"/>
                </c:ext>
              </c:extLst>
            </c:dLbl>
            <c:dLbl>
              <c:idx val="1"/>
              <c:layout>
                <c:manualLayout>
                  <c:x val="-1.011123827779495E-2"/>
                  <c:y val="4.77995957320166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451-427F-89F8-A20F0FD84EFE}"/>
                </c:ext>
              </c:extLst>
            </c:dLbl>
            <c:dLbl>
              <c:idx val="4"/>
              <c:layout>
                <c:manualLayout>
                  <c:x val="-3.2933692912000941E-2"/>
                  <c:y val="-4.27824482980397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451-427F-89F8-A20F0FD84EFE}"/>
                </c:ext>
              </c:extLst>
            </c:dLbl>
            <c:dLbl>
              <c:idx val="6"/>
              <c:layout>
                <c:manualLayout>
                  <c:x val="-3.4956960166806439E-2"/>
                  <c:y val="2.69757499131142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451-427F-89F8-A20F0FD8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B4A!$B$3:$H$3</c:f>
              <c:numCache>
                <c:formatCode>0.00%</c:formatCode>
                <c:ptCount val="7"/>
                <c:pt idx="0">
                  <c:v>7.1999999999999995E-2</c:v>
                </c:pt>
                <c:pt idx="1">
                  <c:v>6.7000000000000004E-2</c:v>
                </c:pt>
                <c:pt idx="3">
                  <c:v>0.6865</c:v>
                </c:pt>
                <c:pt idx="4">
                  <c:v>0.68149999999999999</c:v>
                </c:pt>
                <c:pt idx="5">
                  <c:v>0.67649999999999999</c:v>
                </c:pt>
                <c:pt idx="6">
                  <c:v>0.62</c:v>
                </c:pt>
              </c:numCache>
            </c:numRef>
          </c:val>
          <c:smooth val="0"/>
          <c:extLst>
            <c:ext xmlns:c16="http://schemas.microsoft.com/office/drawing/2014/chart" uri="{C3380CC4-5D6E-409C-BE32-E72D297353CC}">
              <c16:uniqueId val="{00000009-5451-427F-89F8-A20F0FD84EFE}"/>
            </c:ext>
          </c:extLst>
        </c:ser>
        <c:ser>
          <c:idx val="2"/>
          <c:order val="2"/>
          <c:tx>
            <c:strRef>
              <c:f>B4A!$A$4</c:f>
              <c:strCache>
                <c:ptCount val="1"/>
                <c:pt idx="0">
                  <c:v>Phase</c:v>
                </c:pt>
              </c:strCache>
            </c:strRef>
          </c:tx>
          <c:spPr>
            <a:ln w="28575" cap="rnd">
              <a:solidFill>
                <a:schemeClr val="accent3"/>
              </a:solidFill>
              <a:round/>
            </a:ln>
            <a:effectLst/>
          </c:spPr>
          <c:marker>
            <c:symbol val="none"/>
          </c:marker>
          <c:dLbls>
            <c:delete val="1"/>
          </c:dLbls>
          <c:cat>
            <c:numRef>
              <c:f>B4A!$B$1:$H$1</c:f>
              <c:numCache>
                <c:formatCode>General</c:formatCode>
                <c:ptCount val="7"/>
                <c:pt idx="0">
                  <c:v>2014</c:v>
                </c:pt>
                <c:pt idx="1">
                  <c:v>2015</c:v>
                </c:pt>
                <c:pt idx="3">
                  <c:v>2016</c:v>
                </c:pt>
                <c:pt idx="4">
                  <c:v>2017</c:v>
                </c:pt>
                <c:pt idx="5">
                  <c:v>2018</c:v>
                </c:pt>
                <c:pt idx="6">
                  <c:v>2019</c:v>
                </c:pt>
              </c:numCache>
            </c:numRef>
          </c:cat>
          <c:val>
            <c:numRef>
              <c:f>B4A!$B$4:$H$4</c:f>
              <c:numCache>
                <c:formatCode>General</c:formatCode>
                <c:ptCount val="7"/>
                <c:pt idx="2" formatCode="0%">
                  <c:v>1</c:v>
                </c:pt>
              </c:numCache>
            </c:numRef>
          </c:val>
          <c:smooth val="0"/>
          <c:extLst>
            <c:ext xmlns:c16="http://schemas.microsoft.com/office/drawing/2014/chart" uri="{C3380CC4-5D6E-409C-BE32-E72D297353CC}">
              <c16:uniqueId val="{0000000A-5451-427F-89F8-A20F0FD84EF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2021-12-17T00:31:56+00:00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A2769-328C-472E-97B1-47CD3C4925FD}"/>
</file>

<file path=customXml/itemProps2.xml><?xml version="1.0" encoding="utf-8"?>
<ds:datastoreItem xmlns:ds="http://schemas.openxmlformats.org/officeDocument/2006/customXml" ds:itemID="{85CC21F9-4EE9-4382-8358-CB255CA664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2021-12-16T21:22:00Z</dcterms:created>
  <dcterms:modified xsi:type="dcterms:W3CDTF">2021-12-16T21:22:00Z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