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27"/>
        <w:gridCol w:w="314"/>
        <w:gridCol w:w="2325"/>
        <w:gridCol w:w="2304"/>
        <w:gridCol w:w="2290"/>
      </w:tblGrid>
      <w:tr w:rsidR="214843CA" w14:paraId="126BA605" w14:textId="77777777" w:rsidTr="1E0CAAA6">
        <w:trPr>
          <w:tblHeader/>
        </w:trPr>
        <w:tc>
          <w:tcPr>
            <w:tcW w:w="2160" w:type="dxa"/>
            <w:vAlign w:val="center"/>
          </w:tcPr>
          <w:p w14:paraId="16F53E82" w14:textId="379B25A8" w:rsidR="214843CA" w:rsidRDefault="0093214A" w:rsidP="1E0CAAA6">
            <w:pPr>
              <w:jc w:val="center"/>
              <w:rPr>
                <w:rFonts w:eastAsia="Arial"/>
                <w:b/>
                <w:bCs/>
                <w:color w:val="082A75"/>
                <w:sz w:val="36"/>
                <w:szCs w:val="36"/>
              </w:rPr>
            </w:pPr>
            <w:r>
              <w:rPr>
                <w:noProof/>
              </w:rPr>
              <w:drawing>
                <wp:inline distT="0" distB="0" distL="0" distR="0" wp14:anchorId="56005E05" wp14:editId="63FFAEBD">
                  <wp:extent cx="1031772" cy="1097280"/>
                  <wp:effectExtent l="0" t="0" r="0" b="7620"/>
                  <wp:docPr id="93710618"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152C4AA9" w14:textId="77777777" w:rsidR="214843CA" w:rsidRPr="009B27C5" w:rsidRDefault="214843CA" w:rsidP="004921AB">
            <w:pPr>
              <w:pStyle w:val="Title"/>
              <w:spacing w:after="200"/>
              <w:jc w:val="center"/>
              <w:rPr>
                <w:rFonts w:asciiTheme="minorHAnsi" w:eastAsia="Arial" w:hAnsiTheme="minorHAnsi" w:cstheme="minorBidi"/>
                <w:b/>
                <w:bCs/>
                <w:color w:val="1B75BC"/>
                <w:sz w:val="48"/>
                <w:szCs w:val="48"/>
              </w:rPr>
            </w:pPr>
            <w:r w:rsidRPr="009B27C5">
              <w:rPr>
                <w:rFonts w:asciiTheme="minorHAnsi" w:eastAsia="Arial" w:hAnsiTheme="minorHAnsi" w:cstheme="minorBidi"/>
                <w:b/>
                <w:bCs/>
                <w:color w:val="1B75BC"/>
                <w:sz w:val="48"/>
                <w:szCs w:val="48"/>
              </w:rPr>
              <w:t>State Performance Plan (SPP)</w:t>
            </w:r>
          </w:p>
          <w:p w14:paraId="1B982B61" w14:textId="4B3797DB" w:rsidR="214843CA" w:rsidRPr="009B27C5" w:rsidRDefault="214843CA" w:rsidP="004921AB">
            <w:pPr>
              <w:pStyle w:val="Title"/>
              <w:spacing w:after="200"/>
              <w:jc w:val="center"/>
              <w:rPr>
                <w:rFonts w:asciiTheme="minorHAnsi" w:eastAsia="Arial" w:hAnsiTheme="minorHAnsi" w:cstheme="minorBidi"/>
                <w:b/>
                <w:bCs/>
                <w:color w:val="1B75BC"/>
                <w:sz w:val="48"/>
                <w:szCs w:val="48"/>
              </w:rPr>
            </w:pPr>
            <w:r w:rsidRPr="009B27C5">
              <w:rPr>
                <w:rFonts w:asciiTheme="minorHAnsi" w:eastAsia="Arial" w:hAnsiTheme="minorHAnsi" w:cstheme="minorBidi"/>
                <w:b/>
                <w:bCs/>
                <w:color w:val="1B75BC"/>
                <w:sz w:val="48"/>
                <w:szCs w:val="48"/>
              </w:rPr>
              <w:t>Fact Sheet</w:t>
            </w:r>
          </w:p>
          <w:p w14:paraId="31FDDC53" w14:textId="124D3D87" w:rsidR="214843CA" w:rsidRDefault="214843CA" w:rsidP="004921AB">
            <w:pPr>
              <w:pStyle w:val="Title"/>
              <w:spacing w:after="200"/>
              <w:jc w:val="center"/>
              <w:rPr>
                <w:rFonts w:asciiTheme="minorHAnsi" w:eastAsia="Arial" w:hAnsiTheme="minorHAnsi" w:cstheme="minorBidi"/>
                <w:b/>
                <w:bCs/>
                <w:color w:val="082A75"/>
                <w:sz w:val="32"/>
                <w:szCs w:val="32"/>
              </w:rPr>
            </w:pPr>
            <w:r w:rsidRPr="009B27C5">
              <w:rPr>
                <w:rFonts w:asciiTheme="minorHAnsi" w:eastAsia="Arial" w:hAnsiTheme="minorHAnsi" w:cstheme="minorBidi"/>
                <w:b/>
                <w:bCs/>
                <w:color w:val="1B75BC"/>
                <w:sz w:val="32"/>
                <w:szCs w:val="32"/>
              </w:rPr>
              <w:t>Indicator B2: Dropout</w:t>
            </w:r>
          </w:p>
        </w:tc>
      </w:tr>
      <w:tr w:rsidR="214843CA" w14:paraId="642EB878" w14:textId="77777777" w:rsidTr="1E0CAAA6">
        <w:trPr>
          <w:trHeight w:val="72"/>
        </w:trPr>
        <w:tc>
          <w:tcPr>
            <w:tcW w:w="2484" w:type="dxa"/>
            <w:gridSpan w:val="2"/>
            <w:shd w:val="clear" w:color="auto" w:fill="9F2065"/>
          </w:tcPr>
          <w:p w14:paraId="434B5060" w14:textId="77777777" w:rsidR="214843CA" w:rsidRDefault="214843CA" w:rsidP="004921AB">
            <w:pPr>
              <w:rPr>
                <w:noProof/>
              </w:rPr>
            </w:pPr>
          </w:p>
        </w:tc>
        <w:tc>
          <w:tcPr>
            <w:tcW w:w="2484" w:type="dxa"/>
            <w:shd w:val="clear" w:color="auto" w:fill="E26B2A"/>
          </w:tcPr>
          <w:p w14:paraId="289DE8AF"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1B75BC"/>
          </w:tcPr>
          <w:p w14:paraId="66E29E5B"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408740"/>
          </w:tcPr>
          <w:p w14:paraId="21B32F97" w14:textId="46579079" w:rsidR="214843CA" w:rsidRDefault="214843CA" w:rsidP="004921AB">
            <w:pPr>
              <w:pStyle w:val="Title"/>
              <w:rPr>
                <w:rFonts w:asciiTheme="minorHAnsi" w:eastAsia="Arial" w:hAnsiTheme="minorHAnsi" w:cstheme="minorBidi"/>
                <w:b/>
                <w:bCs/>
                <w:color w:val="082974"/>
                <w:sz w:val="22"/>
                <w:szCs w:val="22"/>
              </w:rPr>
            </w:pPr>
          </w:p>
        </w:tc>
      </w:tr>
    </w:tbl>
    <w:p w14:paraId="63EAB3BD" w14:textId="0FE17B95" w:rsidR="41E1BAB2" w:rsidRPr="00C679AB" w:rsidRDefault="5CD6F7C8" w:rsidP="00C679AB">
      <w:pPr>
        <w:pStyle w:val="Heading1"/>
        <w:spacing w:line="240" w:lineRule="auto"/>
        <w:rPr>
          <w:rFonts w:ascii="Calibri" w:eastAsia="Calibri" w:hAnsi="Calibri" w:cs="Calibri"/>
          <w:color w:val="1B75BC"/>
        </w:rPr>
      </w:pPr>
      <w:r w:rsidRPr="00C679AB">
        <w:rPr>
          <w:rFonts w:ascii="Calibri" w:eastAsia="Calibri" w:hAnsi="Calibri" w:cs="Calibri"/>
          <w:b/>
          <w:bCs/>
          <w:color w:val="1B75BC"/>
        </w:rPr>
        <w:t>O</w:t>
      </w:r>
      <w:r w:rsidR="41E1BAB2" w:rsidRPr="00C679AB">
        <w:rPr>
          <w:rFonts w:ascii="Calibri" w:eastAsia="Calibri" w:hAnsi="Calibri" w:cs="Calibri"/>
          <w:b/>
          <w:bCs/>
          <w:color w:val="1B75BC"/>
        </w:rPr>
        <w:t>regon State Performance Plan</w:t>
      </w:r>
    </w:p>
    <w:p w14:paraId="620E0DFA" w14:textId="6ECCAA5E" w:rsidR="004921AB" w:rsidRDefault="004921AB" w:rsidP="004921AB">
      <w:pPr>
        <w:spacing w:line="240" w:lineRule="auto"/>
        <w:rPr>
          <w:rFonts w:ascii="Calibri" w:eastAsia="Calibri" w:hAnsi="Calibri" w:cs="Calibri"/>
          <w:color w:val="000000" w:themeColor="text1"/>
        </w:rPr>
      </w:pPr>
      <w:r w:rsidRPr="71312527">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sidR="008C54B8">
        <w:rPr>
          <w:rFonts w:ascii="Calibri" w:eastAsia="Calibri" w:hAnsi="Calibri" w:cs="Calibri"/>
          <w:color w:val="000000" w:themeColor="text1"/>
        </w:rPr>
        <w:t xml:space="preserve"> Programs</w:t>
      </w:r>
      <w:r w:rsidRPr="71312527">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71312527">
          <w:rPr>
            <w:rStyle w:val="Hyperlink"/>
            <w:rFonts w:ascii="Calibri" w:eastAsia="Calibri" w:hAnsi="Calibri" w:cs="Calibri"/>
          </w:rPr>
          <w:t>ODE State Performance Plan and Annual Reports for Special Education webpage</w:t>
        </w:r>
      </w:hyperlink>
      <w:r w:rsidRPr="71312527">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Pr="004E475F">
          <w:rPr>
            <w:rStyle w:val="Hyperlink"/>
            <w:rFonts w:ascii="Calibri" w:eastAsia="Calibri" w:hAnsi="Calibri" w:cs="Calibri"/>
          </w:rPr>
          <w:t>this survey</w:t>
        </w:r>
      </w:hyperlink>
      <w:r w:rsidRPr="71312527">
        <w:rPr>
          <w:rFonts w:ascii="Calibri" w:eastAsia="Calibri" w:hAnsi="Calibri" w:cs="Calibri"/>
          <w:color w:val="000000" w:themeColor="text1"/>
        </w:rPr>
        <w:t xml:space="preserve">. </w:t>
      </w:r>
    </w:p>
    <w:p w14:paraId="4B73E1C3" w14:textId="47D952F4" w:rsidR="000E4FA0" w:rsidRPr="00C679AB" w:rsidRDefault="00CA3BE5" w:rsidP="00C679AB">
      <w:pPr>
        <w:pStyle w:val="Heading1"/>
        <w:spacing w:line="240" w:lineRule="auto"/>
        <w:rPr>
          <w:rFonts w:asciiTheme="minorHAnsi" w:hAnsiTheme="minorHAnsi" w:cstheme="minorBidi"/>
          <w:b/>
          <w:bCs/>
          <w:color w:val="1B75BC"/>
        </w:rPr>
      </w:pPr>
      <w:r w:rsidRPr="00C679AB">
        <w:rPr>
          <w:rFonts w:asciiTheme="minorHAnsi" w:hAnsiTheme="minorHAnsi" w:cstheme="minorBidi"/>
          <w:b/>
          <w:bCs/>
          <w:color w:val="1B75BC"/>
        </w:rPr>
        <w:t>What does this indicator measure</w:t>
      </w:r>
      <w:r w:rsidR="0ECBA6C1" w:rsidRPr="00C679AB">
        <w:rPr>
          <w:rFonts w:asciiTheme="minorHAnsi" w:hAnsiTheme="minorHAnsi" w:cstheme="minorBidi"/>
          <w:b/>
          <w:bCs/>
          <w:color w:val="1B75BC"/>
        </w:rPr>
        <w:t xml:space="preserve"> and why is it important</w:t>
      </w:r>
      <w:r w:rsidRPr="00C679AB">
        <w:rPr>
          <w:rFonts w:asciiTheme="minorHAnsi" w:hAnsiTheme="minorHAnsi" w:cstheme="minorBidi"/>
          <w:b/>
          <w:bCs/>
          <w:color w:val="1B75BC"/>
        </w:rPr>
        <w:t>?</w:t>
      </w:r>
    </w:p>
    <w:p w14:paraId="1D215D4B" w14:textId="47100CDC" w:rsidR="3FB0452A" w:rsidRDefault="3C97FA15" w:rsidP="71312527">
      <w:pPr>
        <w:spacing w:line="240" w:lineRule="auto"/>
        <w:rPr>
          <w:rFonts w:eastAsiaTheme="minorEastAsia"/>
          <w:color w:val="000000" w:themeColor="text1"/>
        </w:rPr>
      </w:pPr>
      <w:r w:rsidRPr="71312527">
        <w:rPr>
          <w:rFonts w:eastAsiaTheme="minorEastAsia"/>
          <w:color w:val="000000" w:themeColor="text1"/>
        </w:rPr>
        <w:t xml:space="preserve">Indicator B2 </w:t>
      </w:r>
      <w:r w:rsidR="3561FBEF" w:rsidRPr="71312527">
        <w:rPr>
          <w:rFonts w:eastAsiaTheme="minorEastAsia"/>
          <w:color w:val="000000" w:themeColor="text1"/>
        </w:rPr>
        <w:t>a</w:t>
      </w:r>
      <w:r w:rsidRPr="71312527">
        <w:rPr>
          <w:rFonts w:eastAsiaTheme="minorEastAsia"/>
          <w:color w:val="000000" w:themeColor="text1"/>
        </w:rPr>
        <w:t xml:space="preserve">ddresses </w:t>
      </w:r>
      <w:r w:rsidR="7B9A6D8D" w:rsidRPr="71312527">
        <w:rPr>
          <w:rFonts w:ascii="Calibri" w:eastAsia="Calibri" w:hAnsi="Calibri" w:cs="Calibri"/>
          <w:color w:val="000000" w:themeColor="text1"/>
        </w:rPr>
        <w:t>a Free Appropriate Public Education (FAPE) in the Least Restrictive Environment (LRE)</w:t>
      </w:r>
      <w:r w:rsidRPr="71312527">
        <w:rPr>
          <w:rFonts w:eastAsiaTheme="minorEastAsia"/>
          <w:color w:val="000000" w:themeColor="text1"/>
        </w:rPr>
        <w:t xml:space="preserve"> by measuring the p</w:t>
      </w:r>
      <w:r w:rsidR="74037FFD" w:rsidRPr="71312527">
        <w:rPr>
          <w:rFonts w:eastAsiaTheme="minorEastAsia"/>
          <w:color w:val="000000" w:themeColor="text1"/>
        </w:rPr>
        <w:t>ercent of youth with IEPs dropping out of high school. (20 U.S.C. 1416 (a)(3)(A))</w:t>
      </w:r>
      <w:r w:rsidR="729D1509" w:rsidRPr="71312527">
        <w:rPr>
          <w:rFonts w:eastAsiaTheme="minorEastAsia"/>
          <w:color w:val="000000" w:themeColor="text1"/>
        </w:rPr>
        <w:t>.</w:t>
      </w:r>
      <w:r w:rsidR="71014F7F" w:rsidRPr="71312527">
        <w:rPr>
          <w:rFonts w:eastAsiaTheme="minorEastAsia"/>
          <w:color w:val="000000" w:themeColor="text1"/>
        </w:rPr>
        <w:t xml:space="preserve"> </w:t>
      </w:r>
      <w:r w:rsidR="3C67C158" w:rsidRPr="71312527">
        <w:rPr>
          <w:rFonts w:eastAsiaTheme="minorEastAsia"/>
          <w:color w:val="333333"/>
        </w:rPr>
        <w:t xml:space="preserve">The State tracks the data on students dropping out of school and applies the results of other indicators to see if they affect the percentage in any way.  This data </w:t>
      </w:r>
      <w:r w:rsidR="03AC70C7" w:rsidRPr="71312527">
        <w:rPr>
          <w:rFonts w:eastAsiaTheme="minorEastAsia"/>
          <w:color w:val="333333"/>
        </w:rPr>
        <w:t>informs how</w:t>
      </w:r>
      <w:r w:rsidR="3C67C158" w:rsidRPr="71312527">
        <w:rPr>
          <w:rFonts w:eastAsiaTheme="minorEastAsia"/>
          <w:color w:val="333333"/>
        </w:rPr>
        <w:t xml:space="preserve"> the State </w:t>
      </w:r>
      <w:r w:rsidR="3ADECAB6" w:rsidRPr="71312527">
        <w:rPr>
          <w:rFonts w:eastAsiaTheme="minorEastAsia"/>
          <w:color w:val="333333"/>
        </w:rPr>
        <w:t>will ensure that</w:t>
      </w:r>
      <w:r w:rsidR="3C67C158" w:rsidRPr="71312527">
        <w:rPr>
          <w:rFonts w:eastAsiaTheme="minorEastAsia"/>
          <w:color w:val="333333"/>
        </w:rPr>
        <w:t xml:space="preserve"> youth are offered the necessary opportunities and support to achieve high standards</w:t>
      </w:r>
      <w:r w:rsidR="5FA213C4" w:rsidRPr="71312527">
        <w:rPr>
          <w:rFonts w:eastAsiaTheme="minorEastAsia"/>
          <w:color w:val="333333"/>
        </w:rPr>
        <w:t xml:space="preserve">, thereby decreasing </w:t>
      </w:r>
      <w:r w:rsidR="3C67C158" w:rsidRPr="71312527">
        <w:rPr>
          <w:rFonts w:eastAsiaTheme="minorEastAsia"/>
          <w:color w:val="333333"/>
        </w:rPr>
        <w:t xml:space="preserve">the rate at which </w:t>
      </w:r>
      <w:r w:rsidR="547CB4E0" w:rsidRPr="71312527">
        <w:rPr>
          <w:rFonts w:eastAsiaTheme="minorEastAsia"/>
          <w:color w:val="333333"/>
        </w:rPr>
        <w:t xml:space="preserve">youth </w:t>
      </w:r>
      <w:r w:rsidR="3C67C158" w:rsidRPr="71312527">
        <w:rPr>
          <w:rFonts w:eastAsiaTheme="minorEastAsia"/>
          <w:color w:val="333333"/>
        </w:rPr>
        <w:t>fail to successfully complete school.</w:t>
      </w:r>
    </w:p>
    <w:p w14:paraId="21AABC0C" w14:textId="1D2468F7" w:rsidR="6CBDC2CC" w:rsidRPr="00C679AB" w:rsidRDefault="00356BE5" w:rsidP="00C679AB">
      <w:pPr>
        <w:pStyle w:val="Heading1"/>
        <w:spacing w:line="240" w:lineRule="auto"/>
        <w:rPr>
          <w:rFonts w:asciiTheme="minorHAnsi" w:hAnsiTheme="minorHAnsi" w:cstheme="minorBidi"/>
          <w:b/>
          <w:bCs/>
          <w:color w:val="1B75BC"/>
        </w:rPr>
      </w:pPr>
      <w:r w:rsidRPr="00C679AB">
        <w:rPr>
          <w:rFonts w:asciiTheme="minorHAnsi" w:hAnsiTheme="minorHAnsi" w:cstheme="minorBidi"/>
          <w:b/>
          <w:bCs/>
          <w:color w:val="1B75BC"/>
        </w:rPr>
        <w:t>What is the data source?</w:t>
      </w:r>
    </w:p>
    <w:p w14:paraId="6F0192F7" w14:textId="11BE807F" w:rsidR="004B1098" w:rsidRPr="004B1098" w:rsidRDefault="004B1098" w:rsidP="7A251283">
      <w:pPr>
        <w:spacing w:line="240" w:lineRule="auto"/>
        <w:rPr>
          <w:rFonts w:eastAsiaTheme="minorEastAsia"/>
          <w:color w:val="000000" w:themeColor="text1"/>
        </w:rPr>
      </w:pPr>
      <w:r w:rsidRPr="7A251283">
        <w:rPr>
          <w:rFonts w:eastAsiaTheme="minorEastAsia"/>
          <w:color w:val="000000" w:themeColor="text1"/>
        </w:rPr>
        <w:t xml:space="preserve">The data for this indicator comes from the Special Education Child Count (June Special Education Exit) collection, specifically IDEA Section 618 Data in EDFacts file </w:t>
      </w:r>
      <w:hyperlink r:id="rId13">
        <w:r w:rsidRPr="7A251283">
          <w:rPr>
            <w:rStyle w:val="Hyperlink"/>
            <w:rFonts w:eastAsiaTheme="minorEastAsia"/>
          </w:rPr>
          <w:t>FS009 – Children with Disabilities (IDEA) Exiting Special Education</w:t>
        </w:r>
      </w:hyperlink>
      <w:r w:rsidRPr="7A251283">
        <w:rPr>
          <w:rFonts w:eastAsiaTheme="minorEastAsia"/>
          <w:color w:val="000000" w:themeColor="text1"/>
        </w:rPr>
        <w:t xml:space="preserve">. </w:t>
      </w:r>
    </w:p>
    <w:p w14:paraId="2A700A30" w14:textId="77777777" w:rsidR="004B1098" w:rsidRPr="004B1098" w:rsidRDefault="004B1098" w:rsidP="004B1098">
      <w:pPr>
        <w:spacing w:line="240" w:lineRule="auto"/>
        <w:rPr>
          <w:rFonts w:eastAsiaTheme="minorEastAsia"/>
          <w:color w:val="000000" w:themeColor="text1"/>
        </w:rPr>
      </w:pPr>
      <w:r w:rsidRPr="004B1098">
        <w:rPr>
          <w:rFonts w:eastAsiaTheme="minorEastAsia"/>
          <w:color w:val="000000" w:themeColor="text1"/>
        </w:rPr>
        <w:t>The June Special Education Exit collects information for federal reporting requirements under the Individuals with Disabilities Education Act (IDEA). This includes students who have exited special education between July 1 and June 30. This data collection helps ODE meet requirements related to Section 618 of Individuals with Disabilities Education Act (IDEA).</w:t>
      </w:r>
    </w:p>
    <w:p w14:paraId="543B437B" w14:textId="15526547" w:rsidR="004B1098" w:rsidRPr="00C679AB" w:rsidRDefault="004B1098" w:rsidP="00C679AB">
      <w:pPr>
        <w:pStyle w:val="Heading1"/>
        <w:spacing w:line="240" w:lineRule="auto"/>
        <w:rPr>
          <w:rFonts w:asciiTheme="minorHAnsi" w:hAnsiTheme="minorHAnsi" w:cstheme="minorBidi"/>
          <w:b/>
          <w:bCs/>
          <w:color w:val="1B75BC"/>
        </w:rPr>
      </w:pPr>
      <w:r w:rsidRPr="00C679AB">
        <w:rPr>
          <w:rFonts w:asciiTheme="minorHAnsi" w:hAnsiTheme="minorHAnsi" w:cstheme="minorBidi"/>
          <w:b/>
          <w:bCs/>
          <w:color w:val="1B75BC"/>
        </w:rPr>
        <w:t xml:space="preserve">Does the baseline need to be </w:t>
      </w:r>
      <w:r w:rsidR="009B27C5" w:rsidRPr="00C679AB">
        <w:rPr>
          <w:rFonts w:asciiTheme="minorHAnsi" w:hAnsiTheme="minorHAnsi" w:cstheme="minorBidi"/>
          <w:b/>
          <w:bCs/>
          <w:color w:val="1B75BC"/>
        </w:rPr>
        <w:t>set or reset for this indicator?</w:t>
      </w:r>
      <w:r w:rsidRPr="00C679AB">
        <w:rPr>
          <w:rFonts w:asciiTheme="minorHAnsi" w:hAnsiTheme="minorHAnsi" w:cstheme="minorBidi"/>
          <w:b/>
          <w:bCs/>
          <w:color w:val="1B75BC"/>
        </w:rPr>
        <w:t xml:space="preserve"> </w:t>
      </w:r>
    </w:p>
    <w:p w14:paraId="0098ABBD" w14:textId="33BED19B" w:rsidR="004B1098" w:rsidRDefault="00C765AA" w:rsidP="004B1098">
      <w:pPr>
        <w:spacing w:line="240" w:lineRule="auto"/>
        <w:rPr>
          <w:rFonts w:eastAsiaTheme="minorEastAsia"/>
        </w:rPr>
      </w:pPr>
      <w:r>
        <w:t>Yes, this indicator’s measurement changed and ODE must establish a new baseline. ODE proposes using our most recently available data (</w:t>
      </w:r>
      <w:r w:rsidR="00FF5EDD">
        <w:t>8.16</w:t>
      </w:r>
      <w:r>
        <w:t>%, in 2020-21) as a new baseline for this indicator for the FFY 2020-2025 State Performance Plan.</w:t>
      </w:r>
    </w:p>
    <w:p w14:paraId="0A61ADA5" w14:textId="1819AAF2" w:rsidR="00C06C4E" w:rsidRDefault="3BC89253" w:rsidP="005C55E0">
      <w:pPr>
        <w:pStyle w:val="Heading1"/>
        <w:spacing w:before="0" w:line="240" w:lineRule="auto"/>
        <w:rPr>
          <w:rFonts w:asciiTheme="minorHAnsi" w:hAnsiTheme="minorHAnsi" w:cstheme="minorBidi"/>
          <w:b/>
          <w:bCs/>
          <w:color w:val="1B75BC"/>
        </w:rPr>
      </w:pPr>
      <w:r w:rsidRPr="7A251283">
        <w:rPr>
          <w:rFonts w:asciiTheme="minorHAnsi" w:hAnsiTheme="minorHAnsi" w:cstheme="minorBidi"/>
          <w:b/>
          <w:bCs/>
          <w:color w:val="1B75BC"/>
        </w:rPr>
        <w:lastRenderedPageBreak/>
        <w:t>H</w:t>
      </w:r>
      <w:r w:rsidR="00C41661" w:rsidRPr="7A251283">
        <w:rPr>
          <w:rFonts w:asciiTheme="minorHAnsi" w:hAnsiTheme="minorHAnsi" w:cstheme="minorBidi"/>
          <w:b/>
          <w:bCs/>
          <w:color w:val="1B75BC"/>
        </w:rPr>
        <w:t>ow has Oregon performed over time?</w:t>
      </w:r>
    </w:p>
    <w:p w14:paraId="7954659E" w14:textId="77777777" w:rsidR="00C765AA" w:rsidRDefault="00C765AA" w:rsidP="00C765AA">
      <w:pPr>
        <w:spacing w:after="120" w:line="240" w:lineRule="auto"/>
        <w:rPr>
          <w:rFonts w:ascii="Calibri" w:eastAsia="Calibri" w:hAnsi="Calibri" w:cs="Calibri"/>
          <w:b/>
          <w:bCs/>
          <w:color w:val="408740"/>
          <w:sz w:val="24"/>
          <w:szCs w:val="24"/>
        </w:rPr>
      </w:pPr>
      <w:r>
        <w:t>Data in this fact sheet has been updated to show Oregon’s historical results as they would have been reported under the new indicator measurements. To minimize complexity, the historical data Oregon reported from the prior measurement of this indicator is not included. However, as there are not yet any targets for the revised indicator, the prior targets from the FFY 2014-19 SPP cycle are included below.</w:t>
      </w:r>
    </w:p>
    <w:p w14:paraId="35CB69C4" w14:textId="77777777" w:rsidR="00C765AA" w:rsidRDefault="00C765AA" w:rsidP="005C55E0">
      <w:pPr>
        <w:spacing w:after="0" w:line="240" w:lineRule="auto"/>
        <w:jc w:val="center"/>
        <w:rPr>
          <w:rFonts w:ascii="Calibri" w:eastAsia="Calibri" w:hAnsi="Calibri" w:cs="Calibri"/>
          <w:b/>
          <w:bCs/>
          <w:color w:val="408740"/>
          <w:sz w:val="24"/>
          <w:szCs w:val="24"/>
        </w:rPr>
      </w:pPr>
      <w:r w:rsidRPr="22038463">
        <w:rPr>
          <w:rFonts w:ascii="Calibri" w:eastAsia="Calibri" w:hAnsi="Calibri" w:cs="Calibri"/>
          <w:b/>
          <w:bCs/>
          <w:color w:val="408740"/>
          <w:sz w:val="24"/>
          <w:szCs w:val="24"/>
        </w:rPr>
        <w:t xml:space="preserve">Historical Targets (FFY 2014-19 </w:t>
      </w:r>
      <w:r>
        <w:rPr>
          <w:rFonts w:ascii="Calibri" w:eastAsia="Calibri" w:hAnsi="Calibri" w:cs="Calibri"/>
          <w:b/>
          <w:bCs/>
          <w:color w:val="408740"/>
          <w:sz w:val="24"/>
          <w:szCs w:val="24"/>
        </w:rPr>
        <w:t>Indicator B1</w:t>
      </w:r>
      <w:r w:rsidRPr="22038463">
        <w:rPr>
          <w:rFonts w:ascii="Calibri" w:eastAsia="Calibri" w:hAnsi="Calibri" w:cs="Calibri"/>
          <w:b/>
          <w:bCs/>
          <w:color w:val="408740"/>
          <w:sz w:val="24"/>
          <w:szCs w:val="24"/>
        </w:rPr>
        <w:t>)</w:t>
      </w:r>
    </w:p>
    <w:tbl>
      <w:tblPr>
        <w:tblStyle w:val="TableGrid"/>
        <w:tblW w:w="7920" w:type="dxa"/>
        <w:jc w:val="center"/>
        <w:tblLook w:val="04A0" w:firstRow="1" w:lastRow="0" w:firstColumn="1" w:lastColumn="0" w:noHBand="0" w:noVBand="1"/>
        <w:tblCaption w:val="Indicator Data Table"/>
        <w:tblDescription w:val="This table shows Oregon's target and actual data for this indicator."/>
      </w:tblPr>
      <w:tblGrid>
        <w:gridCol w:w="990"/>
        <w:gridCol w:w="990"/>
        <w:gridCol w:w="990"/>
        <w:gridCol w:w="990"/>
        <w:gridCol w:w="990"/>
        <w:gridCol w:w="990"/>
        <w:gridCol w:w="990"/>
        <w:gridCol w:w="990"/>
      </w:tblGrid>
      <w:tr w:rsidR="00C765AA" w:rsidRPr="00B542E4" w14:paraId="20D74317" w14:textId="77777777" w:rsidTr="7A251283">
        <w:trPr>
          <w:tblHeader/>
          <w:jc w:val="center"/>
        </w:trPr>
        <w:tc>
          <w:tcPr>
            <w:tcW w:w="990" w:type="dxa"/>
          </w:tcPr>
          <w:p w14:paraId="1A0C82AD" w14:textId="77777777" w:rsidR="00C765AA" w:rsidRPr="00B542E4" w:rsidRDefault="00C765AA" w:rsidP="00A27AAA">
            <w:pPr>
              <w:jc w:val="center"/>
              <w:rPr>
                <w:b/>
              </w:rPr>
            </w:pPr>
            <w:r w:rsidRPr="00B542E4">
              <w:rPr>
                <w:b/>
              </w:rPr>
              <w:t>FFY</w:t>
            </w:r>
          </w:p>
        </w:tc>
        <w:tc>
          <w:tcPr>
            <w:tcW w:w="990" w:type="dxa"/>
          </w:tcPr>
          <w:p w14:paraId="6CFDDC32" w14:textId="77777777" w:rsidR="00C765AA" w:rsidRPr="00B542E4" w:rsidRDefault="00C765AA" w:rsidP="00A27AAA">
            <w:pPr>
              <w:jc w:val="center"/>
              <w:rPr>
                <w:b/>
                <w:bCs/>
              </w:rPr>
            </w:pPr>
            <w:r w:rsidRPr="6C63E091">
              <w:rPr>
                <w:b/>
                <w:bCs/>
              </w:rPr>
              <w:t>2008</w:t>
            </w:r>
          </w:p>
        </w:tc>
        <w:tc>
          <w:tcPr>
            <w:tcW w:w="990" w:type="dxa"/>
          </w:tcPr>
          <w:p w14:paraId="61F55097" w14:textId="77777777" w:rsidR="00C765AA" w:rsidRPr="00B542E4" w:rsidRDefault="00C765AA" w:rsidP="00A27AAA">
            <w:pPr>
              <w:jc w:val="center"/>
              <w:rPr>
                <w:b/>
              </w:rPr>
            </w:pPr>
            <w:r w:rsidRPr="00B542E4">
              <w:rPr>
                <w:b/>
              </w:rPr>
              <w:t>2014</w:t>
            </w:r>
          </w:p>
        </w:tc>
        <w:tc>
          <w:tcPr>
            <w:tcW w:w="990" w:type="dxa"/>
          </w:tcPr>
          <w:p w14:paraId="1B219663" w14:textId="77777777" w:rsidR="00C765AA" w:rsidRPr="00B542E4" w:rsidRDefault="00C765AA" w:rsidP="00A27AAA">
            <w:pPr>
              <w:jc w:val="center"/>
              <w:rPr>
                <w:b/>
              </w:rPr>
            </w:pPr>
            <w:r w:rsidRPr="00B542E4">
              <w:rPr>
                <w:b/>
              </w:rPr>
              <w:t>2015</w:t>
            </w:r>
          </w:p>
        </w:tc>
        <w:tc>
          <w:tcPr>
            <w:tcW w:w="990" w:type="dxa"/>
          </w:tcPr>
          <w:p w14:paraId="72930C29" w14:textId="77777777" w:rsidR="00C765AA" w:rsidRPr="00B542E4" w:rsidRDefault="00C765AA" w:rsidP="00A27AAA">
            <w:pPr>
              <w:jc w:val="center"/>
              <w:rPr>
                <w:b/>
              </w:rPr>
            </w:pPr>
            <w:r w:rsidRPr="00B542E4">
              <w:rPr>
                <w:b/>
              </w:rPr>
              <w:t>2016</w:t>
            </w:r>
          </w:p>
        </w:tc>
        <w:tc>
          <w:tcPr>
            <w:tcW w:w="990" w:type="dxa"/>
          </w:tcPr>
          <w:p w14:paraId="0E466394" w14:textId="77777777" w:rsidR="00C765AA" w:rsidRPr="00B542E4" w:rsidRDefault="00C765AA" w:rsidP="00A27AAA">
            <w:pPr>
              <w:jc w:val="center"/>
              <w:rPr>
                <w:b/>
              </w:rPr>
            </w:pPr>
            <w:r w:rsidRPr="00B542E4">
              <w:rPr>
                <w:b/>
              </w:rPr>
              <w:t>2017</w:t>
            </w:r>
          </w:p>
        </w:tc>
        <w:tc>
          <w:tcPr>
            <w:tcW w:w="990" w:type="dxa"/>
          </w:tcPr>
          <w:p w14:paraId="3D66E0C9" w14:textId="77777777" w:rsidR="00C765AA" w:rsidRPr="00B542E4" w:rsidRDefault="00C765AA" w:rsidP="00A27AAA">
            <w:pPr>
              <w:jc w:val="center"/>
              <w:rPr>
                <w:b/>
              </w:rPr>
            </w:pPr>
            <w:r w:rsidRPr="00B542E4">
              <w:rPr>
                <w:b/>
              </w:rPr>
              <w:t>2018</w:t>
            </w:r>
          </w:p>
        </w:tc>
        <w:tc>
          <w:tcPr>
            <w:tcW w:w="990" w:type="dxa"/>
          </w:tcPr>
          <w:p w14:paraId="2ECA4574" w14:textId="77777777" w:rsidR="00C765AA" w:rsidRDefault="00C765AA" w:rsidP="00A27AAA">
            <w:pPr>
              <w:jc w:val="center"/>
              <w:rPr>
                <w:b/>
                <w:bCs/>
              </w:rPr>
            </w:pPr>
            <w:r w:rsidRPr="73CA18A3">
              <w:rPr>
                <w:b/>
                <w:bCs/>
              </w:rPr>
              <w:t>2019</w:t>
            </w:r>
          </w:p>
        </w:tc>
      </w:tr>
      <w:tr w:rsidR="00C765AA" w14:paraId="78BC44A2" w14:textId="77777777" w:rsidTr="7A251283">
        <w:trPr>
          <w:tblHeader/>
          <w:jc w:val="center"/>
        </w:trPr>
        <w:tc>
          <w:tcPr>
            <w:tcW w:w="990" w:type="dxa"/>
          </w:tcPr>
          <w:p w14:paraId="7D359BEC" w14:textId="77777777" w:rsidR="00C765AA" w:rsidRDefault="00C765AA" w:rsidP="00A27AAA">
            <w:r>
              <w:t xml:space="preserve">Target </w:t>
            </w:r>
            <w:r>
              <w:rPr>
                <w:rFonts w:cstheme="minorHAnsi"/>
              </w:rPr>
              <w:t>≤</w:t>
            </w:r>
          </w:p>
        </w:tc>
        <w:tc>
          <w:tcPr>
            <w:tcW w:w="990" w:type="dxa"/>
          </w:tcPr>
          <w:p w14:paraId="0CABB362" w14:textId="77777777" w:rsidR="00C765AA" w:rsidRPr="00373050" w:rsidRDefault="00C765AA" w:rsidP="00A27AAA">
            <w:pPr>
              <w:jc w:val="center"/>
              <w:rPr>
                <w:i/>
              </w:rPr>
            </w:pPr>
            <w:r w:rsidRPr="00373050">
              <w:rPr>
                <w:i/>
              </w:rPr>
              <w:t>Baseline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0D79D0" w14:textId="77777777" w:rsidR="00C765AA" w:rsidRDefault="00C765AA" w:rsidP="00A27AAA">
            <w:pPr>
              <w:jc w:val="center"/>
            </w:pPr>
            <w:r>
              <w:t>3.40%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6F7C7" w14:textId="77777777" w:rsidR="00C765AA" w:rsidRDefault="00C765AA" w:rsidP="00A27AAA">
            <w:pPr>
              <w:jc w:val="center"/>
            </w:pPr>
            <w:r>
              <w:t>3.40%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5C779F" w14:textId="77777777" w:rsidR="00C765AA" w:rsidRDefault="00C765AA" w:rsidP="00A27AAA">
            <w:pPr>
              <w:jc w:val="center"/>
            </w:pPr>
            <w:r>
              <w:t>3.30%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65B892" w14:textId="77777777" w:rsidR="00C765AA" w:rsidRDefault="00C765AA" w:rsidP="00A27AAA">
            <w:pPr>
              <w:jc w:val="center"/>
            </w:pPr>
            <w:r>
              <w:t>3.20%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66A083" w14:textId="77777777" w:rsidR="00C765AA" w:rsidRDefault="00C765AA" w:rsidP="00A27AAA">
            <w:pPr>
              <w:jc w:val="center"/>
            </w:pPr>
            <w:r>
              <w:t>3.10%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8BBE0" w14:textId="77777777" w:rsidR="00C765AA" w:rsidRDefault="00C765AA" w:rsidP="00A27AAA">
            <w:pPr>
              <w:jc w:val="center"/>
            </w:pPr>
            <w:r>
              <w:t>3.10%</w:t>
            </w:r>
          </w:p>
        </w:tc>
      </w:tr>
    </w:tbl>
    <w:p w14:paraId="0F958D01" w14:textId="258B6117" w:rsidR="004B1098" w:rsidRPr="004B1098" w:rsidRDefault="00933F5C" w:rsidP="00C765AA">
      <w:pPr>
        <w:spacing w:before="120"/>
        <w:jc w:val="center"/>
      </w:pPr>
      <w:bookmarkStart w:id="0" w:name="_GoBack"/>
      <w:r>
        <w:rPr>
          <w:noProof/>
        </w:rPr>
        <w:drawing>
          <wp:inline distT="0" distB="0" distL="0" distR="0" wp14:anchorId="6F186407" wp14:editId="5C994C29">
            <wp:extent cx="6126480" cy="2651760"/>
            <wp:effectExtent l="0" t="0" r="7620" b="15240"/>
            <wp:docPr id="1" name="Chart 1" title="Oregon's Indicator B2 Dropout Rate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14:paraId="4819717C" w14:textId="4BDBF4AE" w:rsidR="1B1B04EC" w:rsidRPr="00C679AB" w:rsidRDefault="1B1B04EC" w:rsidP="00C679AB">
      <w:pPr>
        <w:pStyle w:val="Heading1"/>
        <w:spacing w:line="240" w:lineRule="auto"/>
        <w:rPr>
          <w:rFonts w:ascii="Calibri" w:eastAsia="Calibri" w:hAnsi="Calibri" w:cs="Calibri"/>
          <w:color w:val="1B75BC"/>
        </w:rPr>
      </w:pPr>
      <w:r w:rsidRPr="00C679AB">
        <w:rPr>
          <w:rFonts w:ascii="Calibri" w:eastAsia="Calibri" w:hAnsi="Calibri" w:cs="Calibri"/>
          <w:b/>
          <w:bCs/>
          <w:color w:val="1B75BC"/>
        </w:rPr>
        <w:t>What are the new targets?</w:t>
      </w:r>
    </w:p>
    <w:p w14:paraId="092B1EF3" w14:textId="7C5827B8" w:rsidR="1B1B04EC" w:rsidRPr="008E3117" w:rsidRDefault="1B1B04EC" w:rsidP="008E3117">
      <w:pPr>
        <w:spacing w:after="0" w:line="240" w:lineRule="auto"/>
        <w:rPr>
          <w:rFonts w:ascii="Calibri" w:eastAsia="Calibri" w:hAnsi="Calibri" w:cs="Calibri"/>
          <w:color w:val="000000" w:themeColor="text1"/>
        </w:rPr>
      </w:pPr>
      <w:r w:rsidRPr="008E3117">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20B758AD" w14:textId="77777777" w:rsidR="00FF5EDD" w:rsidRPr="006E77C6" w:rsidRDefault="00FF5EDD" w:rsidP="00FF5EDD">
      <w:pPr>
        <w:pStyle w:val="ListParagraph"/>
        <w:numPr>
          <w:ilvl w:val="0"/>
          <w:numId w:val="1"/>
        </w:numPr>
        <w:spacing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2FA42BD5" w14:textId="291A6FF4" w:rsidR="00FF5EDD" w:rsidRDefault="00FF5EDD" w:rsidP="7A251283">
      <w:pPr>
        <w:pStyle w:val="ListParagraph"/>
        <w:numPr>
          <w:ilvl w:val="0"/>
          <w:numId w:val="1"/>
        </w:numPr>
        <w:spacing w:line="240" w:lineRule="auto"/>
        <w:rPr>
          <w:rFonts w:eastAsiaTheme="minorEastAsia"/>
          <w:color w:val="000000" w:themeColor="text1"/>
        </w:rPr>
      </w:pPr>
      <w:r w:rsidRPr="7A251283">
        <w:rPr>
          <w:rFonts w:ascii="Calibri" w:eastAsia="Calibri" w:hAnsi="Calibri" w:cs="Calibri"/>
          <w:color w:val="000000" w:themeColor="text1"/>
        </w:rPr>
        <w:t>Change takes time. Targets can be created with this understanding in mind. For example, targets may stay the same for several years in a row, and then improve slightly during the final target year (FFY 2025). Alternatively, targets could show a slight improvement each year</w:t>
      </w:r>
      <w:r w:rsidR="4A62FB43" w:rsidRPr="7A251283">
        <w:rPr>
          <w:rFonts w:ascii="Calibri" w:eastAsia="Calibri" w:hAnsi="Calibri" w:cs="Calibri"/>
          <w:color w:val="000000" w:themeColor="text1"/>
        </w:rPr>
        <w:t>.</w:t>
      </w:r>
    </w:p>
    <w:p w14:paraId="3B8A9831" w14:textId="7E59C449" w:rsidR="1B1B04EC" w:rsidRDefault="1B1B04EC" w:rsidP="00C765AA">
      <w:pPr>
        <w:spacing w:after="0" w:line="240" w:lineRule="auto"/>
        <w:rPr>
          <w:rFonts w:ascii="Calibri" w:eastAsia="Calibri" w:hAnsi="Calibri" w:cs="Calibri"/>
          <w:color w:val="408740"/>
          <w:sz w:val="24"/>
          <w:szCs w:val="24"/>
        </w:rPr>
      </w:pPr>
      <w:r w:rsidRPr="73CA18A3">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14:paraId="36FC450B" w14:textId="77777777" w:rsidTr="7A251283">
        <w:trPr>
          <w:trHeight w:val="300"/>
          <w:tblHeader/>
        </w:trPr>
        <w:tc>
          <w:tcPr>
            <w:tcW w:w="2220" w:type="dxa"/>
            <w:shd w:val="clear" w:color="auto" w:fill="70AD47" w:themeFill="accent6"/>
          </w:tcPr>
          <w:p w14:paraId="7062C610" w14:textId="7DD33062" w:rsidR="73CA18A3" w:rsidRDefault="73CA18A3" w:rsidP="004921AB">
            <w:pPr>
              <w:jc w:val="center"/>
              <w:rPr>
                <w:rFonts w:ascii="Calibri" w:eastAsia="Calibri" w:hAnsi="Calibri" w:cs="Calibri"/>
              </w:rPr>
            </w:pPr>
            <w:r w:rsidRPr="73CA18A3">
              <w:rPr>
                <w:rFonts w:ascii="Calibri" w:eastAsia="Calibri" w:hAnsi="Calibri" w:cs="Calibri"/>
                <w:b/>
                <w:bCs/>
              </w:rPr>
              <w:t>FFY</w:t>
            </w:r>
          </w:p>
        </w:tc>
        <w:tc>
          <w:tcPr>
            <w:tcW w:w="1275" w:type="dxa"/>
            <w:shd w:val="clear" w:color="auto" w:fill="70AD47" w:themeFill="accent6"/>
          </w:tcPr>
          <w:p w14:paraId="60EC3572" w14:textId="18D1AF43" w:rsidR="73CA18A3" w:rsidRDefault="73CA18A3" w:rsidP="004921AB">
            <w:pPr>
              <w:jc w:val="center"/>
              <w:rPr>
                <w:rFonts w:ascii="Calibri" w:eastAsia="Calibri" w:hAnsi="Calibri" w:cs="Calibri"/>
              </w:rPr>
            </w:pPr>
            <w:r w:rsidRPr="73CA18A3">
              <w:rPr>
                <w:rFonts w:ascii="Calibri" w:eastAsia="Calibri" w:hAnsi="Calibri" w:cs="Calibri"/>
                <w:b/>
                <w:bCs/>
              </w:rPr>
              <w:t>2020</w:t>
            </w:r>
          </w:p>
        </w:tc>
        <w:tc>
          <w:tcPr>
            <w:tcW w:w="1275" w:type="dxa"/>
            <w:shd w:val="clear" w:color="auto" w:fill="70AD47" w:themeFill="accent6"/>
          </w:tcPr>
          <w:p w14:paraId="4812402A" w14:textId="449DF793" w:rsidR="73CA18A3" w:rsidRDefault="73CA18A3" w:rsidP="004921AB">
            <w:pPr>
              <w:jc w:val="center"/>
              <w:rPr>
                <w:rFonts w:ascii="Calibri" w:eastAsia="Calibri" w:hAnsi="Calibri" w:cs="Calibri"/>
              </w:rPr>
            </w:pPr>
            <w:r w:rsidRPr="73CA18A3">
              <w:rPr>
                <w:rFonts w:ascii="Calibri" w:eastAsia="Calibri" w:hAnsi="Calibri" w:cs="Calibri"/>
                <w:b/>
                <w:bCs/>
              </w:rPr>
              <w:t>2021</w:t>
            </w:r>
          </w:p>
        </w:tc>
        <w:tc>
          <w:tcPr>
            <w:tcW w:w="1275" w:type="dxa"/>
            <w:shd w:val="clear" w:color="auto" w:fill="70AD47" w:themeFill="accent6"/>
          </w:tcPr>
          <w:p w14:paraId="36B971AD" w14:textId="4D3E3CC8" w:rsidR="73CA18A3" w:rsidRDefault="73CA18A3" w:rsidP="004921AB">
            <w:pPr>
              <w:jc w:val="center"/>
              <w:rPr>
                <w:rFonts w:ascii="Calibri" w:eastAsia="Calibri" w:hAnsi="Calibri" w:cs="Calibri"/>
              </w:rPr>
            </w:pPr>
            <w:r w:rsidRPr="73CA18A3">
              <w:rPr>
                <w:rFonts w:ascii="Calibri" w:eastAsia="Calibri" w:hAnsi="Calibri" w:cs="Calibri"/>
                <w:b/>
                <w:bCs/>
              </w:rPr>
              <w:t>2022</w:t>
            </w:r>
          </w:p>
        </w:tc>
        <w:tc>
          <w:tcPr>
            <w:tcW w:w="1275" w:type="dxa"/>
            <w:shd w:val="clear" w:color="auto" w:fill="70AD47" w:themeFill="accent6"/>
          </w:tcPr>
          <w:p w14:paraId="1AC28311" w14:textId="73647421" w:rsidR="73CA18A3" w:rsidRDefault="73CA18A3" w:rsidP="004921AB">
            <w:pPr>
              <w:jc w:val="center"/>
              <w:rPr>
                <w:rFonts w:ascii="Calibri" w:eastAsia="Calibri" w:hAnsi="Calibri" w:cs="Calibri"/>
              </w:rPr>
            </w:pPr>
            <w:r w:rsidRPr="73CA18A3">
              <w:rPr>
                <w:rFonts w:ascii="Calibri" w:eastAsia="Calibri" w:hAnsi="Calibri" w:cs="Calibri"/>
                <w:b/>
                <w:bCs/>
              </w:rPr>
              <w:t>2023</w:t>
            </w:r>
          </w:p>
        </w:tc>
        <w:tc>
          <w:tcPr>
            <w:tcW w:w="1275" w:type="dxa"/>
            <w:shd w:val="clear" w:color="auto" w:fill="70AD47" w:themeFill="accent6"/>
          </w:tcPr>
          <w:p w14:paraId="706186CD" w14:textId="56DA013A" w:rsidR="73CA18A3" w:rsidRDefault="73CA18A3" w:rsidP="004921AB">
            <w:pPr>
              <w:jc w:val="center"/>
              <w:rPr>
                <w:rFonts w:ascii="Calibri" w:eastAsia="Calibri" w:hAnsi="Calibri" w:cs="Calibri"/>
              </w:rPr>
            </w:pPr>
            <w:r w:rsidRPr="73CA18A3">
              <w:rPr>
                <w:rFonts w:ascii="Calibri" w:eastAsia="Calibri" w:hAnsi="Calibri" w:cs="Calibri"/>
                <w:b/>
                <w:bCs/>
              </w:rPr>
              <w:t>2024</w:t>
            </w:r>
          </w:p>
        </w:tc>
        <w:tc>
          <w:tcPr>
            <w:tcW w:w="1275" w:type="dxa"/>
            <w:shd w:val="clear" w:color="auto" w:fill="70AD47" w:themeFill="accent6"/>
          </w:tcPr>
          <w:p w14:paraId="19B26F50" w14:textId="60CA3AE1" w:rsidR="73CA18A3" w:rsidRDefault="73CA18A3" w:rsidP="004921AB">
            <w:pPr>
              <w:jc w:val="center"/>
              <w:rPr>
                <w:rFonts w:ascii="Calibri" w:eastAsia="Calibri" w:hAnsi="Calibri" w:cs="Calibri"/>
              </w:rPr>
            </w:pPr>
            <w:r w:rsidRPr="73CA18A3">
              <w:rPr>
                <w:rFonts w:ascii="Calibri" w:eastAsia="Calibri" w:hAnsi="Calibri" w:cs="Calibri"/>
                <w:b/>
                <w:bCs/>
              </w:rPr>
              <w:t>2025</w:t>
            </w:r>
          </w:p>
        </w:tc>
      </w:tr>
      <w:tr w:rsidR="73CA18A3" w14:paraId="1E1E62AE" w14:textId="77777777" w:rsidTr="00933F5C">
        <w:trPr>
          <w:trHeight w:val="60"/>
        </w:trPr>
        <w:tc>
          <w:tcPr>
            <w:tcW w:w="2220" w:type="dxa"/>
          </w:tcPr>
          <w:p w14:paraId="5ED0E9E2" w14:textId="3B1CD8F2" w:rsidR="73CA18A3" w:rsidRDefault="73CA18A3" w:rsidP="004B4F25">
            <w:pPr>
              <w:rPr>
                <w:rFonts w:ascii="Calibri" w:eastAsia="Calibri" w:hAnsi="Calibri" w:cs="Calibri"/>
              </w:rPr>
            </w:pPr>
            <w:r w:rsidRPr="73CA18A3">
              <w:rPr>
                <w:rFonts w:ascii="Calibri" w:eastAsia="Calibri" w:hAnsi="Calibri" w:cs="Calibri"/>
              </w:rPr>
              <w:t xml:space="preserve">Targets </w:t>
            </w:r>
            <w:r w:rsidR="004B4F25">
              <w:rPr>
                <w:rFonts w:ascii="Calibri" w:eastAsia="Calibri" w:hAnsi="Calibri" w:cs="Calibri"/>
              </w:rPr>
              <w:t>≤</w:t>
            </w:r>
          </w:p>
        </w:tc>
        <w:tc>
          <w:tcPr>
            <w:tcW w:w="1275" w:type="dxa"/>
          </w:tcPr>
          <w:p w14:paraId="1345B2EC" w14:textId="323C5F4A" w:rsidR="73CA18A3" w:rsidRPr="00933F5C" w:rsidRDefault="3E970261" w:rsidP="00933F5C">
            <w:pPr>
              <w:jc w:val="center"/>
            </w:pPr>
            <w:r w:rsidRPr="7A251283">
              <w:rPr>
                <w:rFonts w:ascii="Calibri" w:eastAsia="Calibri" w:hAnsi="Calibri" w:cs="Calibri"/>
                <w:color w:val="000000" w:themeColor="text1"/>
              </w:rPr>
              <w:t>11.00%</w:t>
            </w:r>
          </w:p>
        </w:tc>
        <w:tc>
          <w:tcPr>
            <w:tcW w:w="1275" w:type="dxa"/>
          </w:tcPr>
          <w:p w14:paraId="57C5C7C9" w14:textId="2229A5D8" w:rsidR="73CA18A3" w:rsidRPr="00933F5C" w:rsidRDefault="3E970261" w:rsidP="00933F5C">
            <w:pPr>
              <w:jc w:val="center"/>
            </w:pPr>
            <w:r w:rsidRPr="7A251283">
              <w:rPr>
                <w:rFonts w:ascii="Calibri" w:eastAsia="Calibri" w:hAnsi="Calibri" w:cs="Calibri"/>
                <w:color w:val="000000" w:themeColor="text1"/>
              </w:rPr>
              <w:t>10.65%</w:t>
            </w:r>
          </w:p>
        </w:tc>
        <w:tc>
          <w:tcPr>
            <w:tcW w:w="1275" w:type="dxa"/>
          </w:tcPr>
          <w:p w14:paraId="014D465E" w14:textId="737CBB7A" w:rsidR="73CA18A3" w:rsidRDefault="60F402B8" w:rsidP="00933F5C">
            <w:pPr>
              <w:jc w:val="center"/>
              <w:rPr>
                <w:rFonts w:ascii="Calibri" w:eastAsia="Calibri" w:hAnsi="Calibri" w:cs="Calibri"/>
              </w:rPr>
            </w:pPr>
            <w:r w:rsidRPr="7A251283">
              <w:rPr>
                <w:rFonts w:ascii="Calibri" w:eastAsia="Calibri" w:hAnsi="Calibri" w:cs="Calibri"/>
                <w:color w:val="000000" w:themeColor="text1"/>
              </w:rPr>
              <w:t>10.30%</w:t>
            </w:r>
          </w:p>
        </w:tc>
        <w:tc>
          <w:tcPr>
            <w:tcW w:w="1275" w:type="dxa"/>
          </w:tcPr>
          <w:p w14:paraId="464F0023" w14:textId="5F0A0A35" w:rsidR="73CA18A3" w:rsidRPr="00933F5C" w:rsidRDefault="60F402B8" w:rsidP="00933F5C">
            <w:pPr>
              <w:jc w:val="center"/>
            </w:pPr>
            <w:r w:rsidRPr="7A251283">
              <w:rPr>
                <w:rFonts w:ascii="Calibri" w:eastAsia="Calibri" w:hAnsi="Calibri" w:cs="Calibri"/>
                <w:color w:val="000000" w:themeColor="text1"/>
              </w:rPr>
              <w:t>9.95%</w:t>
            </w:r>
          </w:p>
        </w:tc>
        <w:tc>
          <w:tcPr>
            <w:tcW w:w="1275" w:type="dxa"/>
          </w:tcPr>
          <w:p w14:paraId="2807737C" w14:textId="0A436E03" w:rsidR="73CA18A3" w:rsidRDefault="60F402B8" w:rsidP="00933F5C">
            <w:pPr>
              <w:jc w:val="center"/>
              <w:rPr>
                <w:rFonts w:ascii="Calibri" w:eastAsia="Calibri" w:hAnsi="Calibri" w:cs="Calibri"/>
                <w:color w:val="000000" w:themeColor="text1"/>
              </w:rPr>
            </w:pPr>
            <w:r w:rsidRPr="7A251283">
              <w:rPr>
                <w:rFonts w:ascii="Calibri" w:eastAsia="Calibri" w:hAnsi="Calibri" w:cs="Calibri"/>
                <w:color w:val="000000" w:themeColor="text1"/>
              </w:rPr>
              <w:t>9.60%</w:t>
            </w:r>
          </w:p>
        </w:tc>
        <w:tc>
          <w:tcPr>
            <w:tcW w:w="1275" w:type="dxa"/>
          </w:tcPr>
          <w:p w14:paraId="625559F3" w14:textId="2153C8F7" w:rsidR="73CA18A3" w:rsidRPr="00933F5C" w:rsidRDefault="60F402B8" w:rsidP="00933F5C">
            <w:pPr>
              <w:jc w:val="center"/>
            </w:pPr>
            <w:r w:rsidRPr="7A251283">
              <w:rPr>
                <w:rFonts w:ascii="Calibri" w:eastAsia="Calibri" w:hAnsi="Calibri" w:cs="Calibri"/>
                <w:color w:val="000000" w:themeColor="text1"/>
              </w:rPr>
              <w:t>9.25%</w:t>
            </w:r>
          </w:p>
        </w:tc>
      </w:tr>
    </w:tbl>
    <w:p w14:paraId="599DA21B" w14:textId="6277F148" w:rsidR="1B1B04EC" w:rsidRDefault="1B1B04EC" w:rsidP="004921AB">
      <w:pPr>
        <w:spacing w:line="240" w:lineRule="auto"/>
        <w:rPr>
          <w:rFonts w:ascii="Calibri" w:eastAsia="Calibri" w:hAnsi="Calibri" w:cs="Calibri"/>
          <w:color w:val="000000" w:themeColor="text1"/>
        </w:rPr>
      </w:pPr>
      <w:r w:rsidRPr="7A251283">
        <w:rPr>
          <w:rFonts w:ascii="Calibri" w:eastAsia="Calibri" w:hAnsi="Calibri" w:cs="Calibri"/>
          <w:color w:val="000000" w:themeColor="text1"/>
        </w:rPr>
        <w:t xml:space="preserve">Example A shows a gradual </w:t>
      </w:r>
      <w:r w:rsidR="004B4F25" w:rsidRPr="7A251283">
        <w:rPr>
          <w:rFonts w:ascii="Calibri" w:eastAsia="Calibri" w:hAnsi="Calibri" w:cs="Calibri"/>
          <w:color w:val="000000" w:themeColor="text1"/>
        </w:rPr>
        <w:t>improvement</w:t>
      </w:r>
      <w:r w:rsidRPr="7A251283">
        <w:rPr>
          <w:rFonts w:ascii="Calibri" w:eastAsia="Calibri" w:hAnsi="Calibri" w:cs="Calibri"/>
          <w:color w:val="000000" w:themeColor="text1"/>
        </w:rPr>
        <w:t>.</w:t>
      </w:r>
      <w:r w:rsidR="5C8E5A2B" w:rsidRPr="7A251283">
        <w:rPr>
          <w:rFonts w:ascii="Calibri" w:eastAsia="Calibri" w:hAnsi="Calibri" w:cs="Calibri"/>
          <w:color w:val="000000" w:themeColor="text1"/>
        </w:rPr>
        <w:t xml:space="preserve"> It would take 10 years to get to 7.5%</w:t>
      </w:r>
    </w:p>
    <w:p w14:paraId="3C9F3D06" w14:textId="7D3CFA22" w:rsidR="1B1B04EC" w:rsidRDefault="1B1B04EC" w:rsidP="00C765AA">
      <w:pPr>
        <w:spacing w:after="0" w:line="240" w:lineRule="auto"/>
        <w:rPr>
          <w:rFonts w:ascii="Calibri" w:eastAsia="Calibri" w:hAnsi="Calibri" w:cs="Calibri"/>
          <w:color w:val="408740"/>
          <w:sz w:val="24"/>
          <w:szCs w:val="24"/>
        </w:rPr>
      </w:pPr>
      <w:r w:rsidRPr="73CA18A3">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rsidRPr="001A2C34" w14:paraId="21F1BF06" w14:textId="77777777" w:rsidTr="7A251283">
        <w:trPr>
          <w:tblHeader/>
        </w:trPr>
        <w:tc>
          <w:tcPr>
            <w:tcW w:w="2220" w:type="dxa"/>
            <w:shd w:val="clear" w:color="auto" w:fill="FFC000" w:themeFill="accent4"/>
          </w:tcPr>
          <w:p w14:paraId="1F4ABCE4" w14:textId="05D4D740" w:rsidR="73CA18A3" w:rsidRPr="001A2C34" w:rsidRDefault="73CA18A3" w:rsidP="004921AB">
            <w:pPr>
              <w:jc w:val="center"/>
              <w:rPr>
                <w:rFonts w:ascii="Calibri" w:eastAsia="Calibri" w:hAnsi="Calibri" w:cs="Calibri"/>
              </w:rPr>
            </w:pPr>
            <w:r w:rsidRPr="001A2C34">
              <w:rPr>
                <w:rFonts w:ascii="Calibri" w:eastAsia="Calibri" w:hAnsi="Calibri" w:cs="Calibri"/>
                <w:b/>
                <w:bCs/>
              </w:rPr>
              <w:t>FFY</w:t>
            </w:r>
          </w:p>
        </w:tc>
        <w:tc>
          <w:tcPr>
            <w:tcW w:w="1275" w:type="dxa"/>
            <w:shd w:val="clear" w:color="auto" w:fill="FFC000" w:themeFill="accent4"/>
          </w:tcPr>
          <w:p w14:paraId="4770E446" w14:textId="343244D7" w:rsidR="73CA18A3" w:rsidRPr="001A2C34" w:rsidRDefault="73CA18A3" w:rsidP="004921AB">
            <w:pPr>
              <w:jc w:val="center"/>
              <w:rPr>
                <w:rFonts w:ascii="Calibri" w:eastAsia="Calibri" w:hAnsi="Calibri" w:cs="Calibri"/>
              </w:rPr>
            </w:pPr>
            <w:r w:rsidRPr="001A2C34">
              <w:rPr>
                <w:rFonts w:ascii="Calibri" w:eastAsia="Calibri" w:hAnsi="Calibri" w:cs="Calibri"/>
                <w:b/>
                <w:bCs/>
              </w:rPr>
              <w:t>2020</w:t>
            </w:r>
          </w:p>
        </w:tc>
        <w:tc>
          <w:tcPr>
            <w:tcW w:w="1275" w:type="dxa"/>
            <w:shd w:val="clear" w:color="auto" w:fill="FFC000" w:themeFill="accent4"/>
          </w:tcPr>
          <w:p w14:paraId="15C2F8B7" w14:textId="6CD3C39A" w:rsidR="73CA18A3" w:rsidRPr="001A2C34" w:rsidRDefault="73CA18A3" w:rsidP="004921AB">
            <w:pPr>
              <w:jc w:val="center"/>
              <w:rPr>
                <w:rFonts w:ascii="Calibri" w:eastAsia="Calibri" w:hAnsi="Calibri" w:cs="Calibri"/>
              </w:rPr>
            </w:pPr>
            <w:r w:rsidRPr="001A2C34">
              <w:rPr>
                <w:rFonts w:ascii="Calibri" w:eastAsia="Calibri" w:hAnsi="Calibri" w:cs="Calibri"/>
                <w:b/>
                <w:bCs/>
              </w:rPr>
              <w:t>2021</w:t>
            </w:r>
          </w:p>
        </w:tc>
        <w:tc>
          <w:tcPr>
            <w:tcW w:w="1275" w:type="dxa"/>
            <w:shd w:val="clear" w:color="auto" w:fill="FFC000" w:themeFill="accent4"/>
          </w:tcPr>
          <w:p w14:paraId="2D6B5883" w14:textId="0A591EB7" w:rsidR="73CA18A3" w:rsidRPr="001A2C34" w:rsidRDefault="73CA18A3" w:rsidP="004921AB">
            <w:pPr>
              <w:jc w:val="center"/>
              <w:rPr>
                <w:rFonts w:ascii="Calibri" w:eastAsia="Calibri" w:hAnsi="Calibri" w:cs="Calibri"/>
              </w:rPr>
            </w:pPr>
            <w:r w:rsidRPr="001A2C34">
              <w:rPr>
                <w:rFonts w:ascii="Calibri" w:eastAsia="Calibri" w:hAnsi="Calibri" w:cs="Calibri"/>
                <w:b/>
                <w:bCs/>
              </w:rPr>
              <w:t>2022</w:t>
            </w:r>
          </w:p>
        </w:tc>
        <w:tc>
          <w:tcPr>
            <w:tcW w:w="1275" w:type="dxa"/>
            <w:shd w:val="clear" w:color="auto" w:fill="FFC000" w:themeFill="accent4"/>
          </w:tcPr>
          <w:p w14:paraId="6E526EE6" w14:textId="681CBF66" w:rsidR="73CA18A3" w:rsidRPr="001A2C34" w:rsidRDefault="73CA18A3" w:rsidP="004921AB">
            <w:pPr>
              <w:jc w:val="center"/>
              <w:rPr>
                <w:rFonts w:ascii="Calibri" w:eastAsia="Calibri" w:hAnsi="Calibri" w:cs="Calibri"/>
              </w:rPr>
            </w:pPr>
            <w:r w:rsidRPr="001A2C34">
              <w:rPr>
                <w:rFonts w:ascii="Calibri" w:eastAsia="Calibri" w:hAnsi="Calibri" w:cs="Calibri"/>
                <w:b/>
                <w:bCs/>
              </w:rPr>
              <w:t>2023</w:t>
            </w:r>
          </w:p>
        </w:tc>
        <w:tc>
          <w:tcPr>
            <w:tcW w:w="1275" w:type="dxa"/>
            <w:shd w:val="clear" w:color="auto" w:fill="FFC000" w:themeFill="accent4"/>
          </w:tcPr>
          <w:p w14:paraId="6574D2BF" w14:textId="49B1D321" w:rsidR="73CA18A3" w:rsidRPr="001A2C34" w:rsidRDefault="73CA18A3" w:rsidP="004921AB">
            <w:pPr>
              <w:jc w:val="center"/>
              <w:rPr>
                <w:rFonts w:ascii="Calibri" w:eastAsia="Calibri" w:hAnsi="Calibri" w:cs="Calibri"/>
              </w:rPr>
            </w:pPr>
            <w:r w:rsidRPr="001A2C34">
              <w:rPr>
                <w:rFonts w:ascii="Calibri" w:eastAsia="Calibri" w:hAnsi="Calibri" w:cs="Calibri"/>
                <w:b/>
                <w:bCs/>
              </w:rPr>
              <w:t>2024</w:t>
            </w:r>
          </w:p>
        </w:tc>
        <w:tc>
          <w:tcPr>
            <w:tcW w:w="1275" w:type="dxa"/>
            <w:shd w:val="clear" w:color="auto" w:fill="FFC000" w:themeFill="accent4"/>
          </w:tcPr>
          <w:p w14:paraId="6C97E2D1" w14:textId="6943E6CF" w:rsidR="73CA18A3" w:rsidRPr="001A2C34" w:rsidRDefault="73CA18A3" w:rsidP="004921AB">
            <w:pPr>
              <w:jc w:val="center"/>
              <w:rPr>
                <w:rFonts w:ascii="Calibri" w:eastAsia="Calibri" w:hAnsi="Calibri" w:cs="Calibri"/>
              </w:rPr>
            </w:pPr>
            <w:r w:rsidRPr="001A2C34">
              <w:rPr>
                <w:rFonts w:ascii="Calibri" w:eastAsia="Calibri" w:hAnsi="Calibri" w:cs="Calibri"/>
                <w:b/>
                <w:bCs/>
              </w:rPr>
              <w:t>2025</w:t>
            </w:r>
          </w:p>
        </w:tc>
      </w:tr>
      <w:tr w:rsidR="73CA18A3" w:rsidRPr="001A2C34" w14:paraId="28ECDFE8" w14:textId="77777777" w:rsidTr="7A251283">
        <w:tc>
          <w:tcPr>
            <w:tcW w:w="2220" w:type="dxa"/>
          </w:tcPr>
          <w:p w14:paraId="5661A2E5" w14:textId="2AFF895A" w:rsidR="73CA18A3" w:rsidRPr="001A2C34" w:rsidRDefault="73CA18A3" w:rsidP="004B4F25">
            <w:pPr>
              <w:rPr>
                <w:rFonts w:ascii="Calibri" w:eastAsia="Calibri" w:hAnsi="Calibri" w:cs="Calibri"/>
              </w:rPr>
            </w:pPr>
            <w:r w:rsidRPr="001A2C34">
              <w:rPr>
                <w:rFonts w:ascii="Calibri" w:eastAsia="Calibri" w:hAnsi="Calibri" w:cs="Calibri"/>
              </w:rPr>
              <w:t xml:space="preserve">Target </w:t>
            </w:r>
            <w:r w:rsidR="004B4F25" w:rsidRPr="001A2C34">
              <w:rPr>
                <w:rFonts w:ascii="Calibri" w:eastAsia="Calibri" w:hAnsi="Calibri" w:cs="Calibri"/>
              </w:rPr>
              <w:t>≤</w:t>
            </w:r>
          </w:p>
        </w:tc>
        <w:tc>
          <w:tcPr>
            <w:tcW w:w="1275" w:type="dxa"/>
          </w:tcPr>
          <w:p w14:paraId="4CE19AD6" w14:textId="490AA9D6" w:rsidR="7A251283" w:rsidRDefault="7A251283" w:rsidP="00933F5C">
            <w:pPr>
              <w:jc w:val="center"/>
            </w:pPr>
            <w:r w:rsidRPr="7A251283">
              <w:rPr>
                <w:rFonts w:ascii="Calibri" w:eastAsia="Calibri" w:hAnsi="Calibri" w:cs="Calibri"/>
                <w:color w:val="000000" w:themeColor="text1"/>
              </w:rPr>
              <w:t>10.50%</w:t>
            </w:r>
          </w:p>
        </w:tc>
        <w:tc>
          <w:tcPr>
            <w:tcW w:w="1275" w:type="dxa"/>
          </w:tcPr>
          <w:p w14:paraId="6E4122E7" w14:textId="528C6AF9" w:rsidR="7A251283" w:rsidRDefault="7A251283" w:rsidP="00933F5C">
            <w:pPr>
              <w:jc w:val="center"/>
            </w:pPr>
            <w:r w:rsidRPr="7A251283">
              <w:rPr>
                <w:rFonts w:ascii="Calibri" w:eastAsia="Calibri" w:hAnsi="Calibri" w:cs="Calibri"/>
                <w:color w:val="000000" w:themeColor="text1"/>
              </w:rPr>
              <w:t>10.00%</w:t>
            </w:r>
          </w:p>
        </w:tc>
        <w:tc>
          <w:tcPr>
            <w:tcW w:w="1275" w:type="dxa"/>
          </w:tcPr>
          <w:p w14:paraId="2ADE77F5" w14:textId="15C09BB3" w:rsidR="7A251283" w:rsidRDefault="7A251283" w:rsidP="00933F5C">
            <w:pPr>
              <w:jc w:val="center"/>
            </w:pPr>
            <w:r w:rsidRPr="7A251283">
              <w:rPr>
                <w:rFonts w:ascii="Calibri" w:eastAsia="Calibri" w:hAnsi="Calibri" w:cs="Calibri"/>
                <w:color w:val="000000" w:themeColor="text1"/>
              </w:rPr>
              <w:t>9.50%</w:t>
            </w:r>
          </w:p>
        </w:tc>
        <w:tc>
          <w:tcPr>
            <w:tcW w:w="1275" w:type="dxa"/>
          </w:tcPr>
          <w:p w14:paraId="7409151A" w14:textId="191371F0" w:rsidR="7A251283" w:rsidRDefault="7A251283" w:rsidP="00933F5C">
            <w:pPr>
              <w:jc w:val="center"/>
            </w:pPr>
            <w:r w:rsidRPr="7A251283">
              <w:rPr>
                <w:rFonts w:ascii="Calibri" w:eastAsia="Calibri" w:hAnsi="Calibri" w:cs="Calibri"/>
                <w:color w:val="000000" w:themeColor="text1"/>
              </w:rPr>
              <w:t>9.00%</w:t>
            </w:r>
          </w:p>
        </w:tc>
        <w:tc>
          <w:tcPr>
            <w:tcW w:w="1275" w:type="dxa"/>
          </w:tcPr>
          <w:p w14:paraId="2DECD2CA" w14:textId="5BC9DD92" w:rsidR="7A251283" w:rsidRDefault="7A251283" w:rsidP="00933F5C">
            <w:pPr>
              <w:jc w:val="center"/>
            </w:pPr>
            <w:r w:rsidRPr="7A251283">
              <w:rPr>
                <w:rFonts w:ascii="Calibri" w:eastAsia="Calibri" w:hAnsi="Calibri" w:cs="Calibri"/>
                <w:color w:val="000000" w:themeColor="text1"/>
              </w:rPr>
              <w:t>8.50%</w:t>
            </w:r>
          </w:p>
        </w:tc>
        <w:tc>
          <w:tcPr>
            <w:tcW w:w="1275" w:type="dxa"/>
          </w:tcPr>
          <w:p w14:paraId="57EE9A2B" w14:textId="18BF9B8B" w:rsidR="7A251283" w:rsidRDefault="7A251283" w:rsidP="00933F5C">
            <w:pPr>
              <w:jc w:val="center"/>
            </w:pPr>
            <w:r w:rsidRPr="7A251283">
              <w:rPr>
                <w:rFonts w:ascii="Calibri" w:eastAsia="Calibri" w:hAnsi="Calibri" w:cs="Calibri"/>
                <w:color w:val="000000" w:themeColor="text1"/>
              </w:rPr>
              <w:t>8.00%</w:t>
            </w:r>
          </w:p>
        </w:tc>
      </w:tr>
    </w:tbl>
    <w:p w14:paraId="5F830BFE" w14:textId="7CDBD17D" w:rsidR="00923522" w:rsidRPr="001A2C34" w:rsidRDefault="1B1B04EC" w:rsidP="004921AB">
      <w:pPr>
        <w:spacing w:line="240" w:lineRule="auto"/>
        <w:rPr>
          <w:rFonts w:ascii="Calibri" w:eastAsia="Calibri" w:hAnsi="Calibri" w:cs="Calibri"/>
          <w:color w:val="000000" w:themeColor="text1"/>
        </w:rPr>
      </w:pPr>
      <w:r w:rsidRPr="7A251283">
        <w:rPr>
          <w:rFonts w:ascii="Calibri" w:eastAsia="Calibri" w:hAnsi="Calibri" w:cs="Calibri"/>
          <w:color w:val="000000" w:themeColor="text1"/>
        </w:rPr>
        <w:t xml:space="preserve">Example B shows more </w:t>
      </w:r>
      <w:r w:rsidR="004B4F25" w:rsidRPr="7A251283">
        <w:rPr>
          <w:rFonts w:ascii="Calibri" w:eastAsia="Calibri" w:hAnsi="Calibri" w:cs="Calibri"/>
          <w:color w:val="000000" w:themeColor="text1"/>
        </w:rPr>
        <w:t>improvement</w:t>
      </w:r>
      <w:r w:rsidRPr="7A251283">
        <w:rPr>
          <w:rFonts w:ascii="Calibri" w:eastAsia="Calibri" w:hAnsi="Calibri" w:cs="Calibri"/>
          <w:color w:val="000000" w:themeColor="text1"/>
        </w:rPr>
        <w:t>.</w:t>
      </w:r>
      <w:r w:rsidR="287CA59F" w:rsidRPr="7A251283">
        <w:rPr>
          <w:rFonts w:ascii="Calibri" w:eastAsia="Calibri" w:hAnsi="Calibri" w:cs="Calibri"/>
          <w:color w:val="000000" w:themeColor="text1"/>
        </w:rPr>
        <w:t xml:space="preserve"> It would take 6 years to get to 8.00%</w:t>
      </w:r>
    </w:p>
    <w:p w14:paraId="39CB9E5B" w14:textId="26679162" w:rsidR="1B1B04EC" w:rsidRPr="00923522" w:rsidRDefault="55C75DB0" w:rsidP="00FF5EDD">
      <w:pPr>
        <w:spacing w:line="240" w:lineRule="auto"/>
        <w:jc w:val="center"/>
        <w:rPr>
          <w:rFonts w:ascii="Calibri" w:eastAsia="Calibri" w:hAnsi="Calibri" w:cs="Calibri"/>
          <w:sz w:val="24"/>
          <w:szCs w:val="24"/>
        </w:rPr>
      </w:pPr>
      <w:r w:rsidRPr="1E0CAAA6">
        <w:rPr>
          <w:rFonts w:ascii="Calibri" w:eastAsia="Calibri" w:hAnsi="Calibri" w:cs="Calibri"/>
          <w:b/>
          <w:bCs/>
          <w:color w:val="407641"/>
        </w:rPr>
        <w:t xml:space="preserve">If you need more information in order to </w:t>
      </w:r>
      <w:r w:rsidR="00C679AB">
        <w:rPr>
          <w:rFonts w:ascii="Calibri" w:eastAsia="Calibri" w:hAnsi="Calibri" w:cs="Calibri"/>
          <w:b/>
          <w:bCs/>
          <w:color w:val="407641"/>
        </w:rPr>
        <w:t>provide input, please contact</w:t>
      </w:r>
      <w:r w:rsidR="00C679AB">
        <w:rPr>
          <w:rFonts w:ascii="Calibri" w:eastAsia="Calibri" w:hAnsi="Calibri" w:cs="Calibri"/>
          <w:b/>
          <w:bCs/>
          <w:color w:val="407641"/>
        </w:rPr>
        <w:br/>
        <w:t>Elizabeth Jankowski</w:t>
      </w:r>
      <w:r w:rsidRPr="1E0CAAA6">
        <w:rPr>
          <w:rFonts w:ascii="Calibri" w:eastAsia="Calibri" w:hAnsi="Calibri" w:cs="Calibri"/>
          <w:b/>
          <w:bCs/>
          <w:color w:val="407641"/>
        </w:rPr>
        <w:t>, Education Specialist, a</w:t>
      </w:r>
      <w:r w:rsidR="00C679AB">
        <w:rPr>
          <w:rFonts w:ascii="Calibri" w:eastAsia="Calibri" w:hAnsi="Calibri" w:cs="Calibri"/>
          <w:b/>
          <w:bCs/>
          <w:color w:val="407641"/>
        </w:rPr>
        <w:t xml:space="preserve">t </w:t>
      </w:r>
      <w:hyperlink r:id="rId15" w:history="1">
        <w:r w:rsidR="00C679AB" w:rsidRPr="00C00937">
          <w:rPr>
            <w:rStyle w:val="Hyperlink"/>
            <w:rFonts w:ascii="Calibri" w:eastAsia="Calibri" w:hAnsi="Calibri" w:cs="Calibri"/>
            <w:b/>
            <w:bCs/>
          </w:rPr>
          <w:t>elizabeth.jankowski@state.or.us</w:t>
        </w:r>
      </w:hyperlink>
      <w:r w:rsidRPr="1E0CAAA6">
        <w:rPr>
          <w:rFonts w:ascii="Calibri" w:eastAsia="Calibri" w:hAnsi="Calibri" w:cs="Calibri"/>
          <w:b/>
          <w:bCs/>
          <w:color w:val="000000" w:themeColor="text1"/>
        </w:rPr>
        <w:t>.</w:t>
      </w:r>
    </w:p>
    <w:sectPr w:rsidR="1B1B04EC" w:rsidRPr="00923522" w:rsidSect="005C55E0">
      <w:footerReference w:type="default" r:id="rId16"/>
      <w:pgSz w:w="12240" w:h="15840"/>
      <w:pgMar w:top="1296" w:right="1440" w:bottom="129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55693A06" w16cex:dateUtc="2021-10-22T22:40:44.184Z"/>
  <w16cex:commentExtensible w16cex:durableId="08BC3814" w16cex:dateUtc="2021-10-28T00:01:37.884Z"/>
  <w16cex:commentExtensible w16cex:durableId="596FDA7F" w16cex:dateUtc="2021-10-28T15:05:43.306Z"/>
  <w16cex:commentExtensible w16cex:durableId="59C45214" w16cex:dateUtc="2021-10-28T19:49:38.775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7848A4FB" w16cid:durableId="55693A06"/>
  <w16cid:commentId w16cid:paraId="569A8905" w16cid:durableId="08BC3814"/>
  <w16cid:commentId w16cid:paraId="47E2B5BE" w16cid:durableId="596FDA7F"/>
  <w16cid:commentId w16cid:paraId="0D63C524" w16cid:durableId="59C45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5B02" w14:textId="03C65EDB" w:rsidR="73CA18A3" w:rsidRDefault="008E3117" w:rsidP="73CA18A3">
    <w:pPr>
      <w:pStyle w:val="Footer"/>
    </w:pPr>
    <w:r>
      <w:t>State Performance Plan Fact Sheet – Indicator B2</w:t>
    </w:r>
    <w:r>
      <w:tab/>
    </w:r>
    <w:r>
      <w:tab/>
    </w:r>
    <w:r>
      <w:fldChar w:fldCharType="begin"/>
    </w:r>
    <w:r>
      <w:instrText xml:space="preserve"> PAGE   \* MERGEFORMAT </w:instrText>
    </w:r>
    <w:r>
      <w:fldChar w:fldCharType="separate"/>
    </w:r>
    <w:r w:rsidR="003E348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054DE"/>
    <w:multiLevelType w:val="hybridMultilevel"/>
    <w:tmpl w:val="467A1C88"/>
    <w:lvl w:ilvl="0" w:tplc="DF903156">
      <w:start w:val="1"/>
      <w:numFmt w:val="bullet"/>
      <w:lvlText w:val=""/>
      <w:lvlJc w:val="left"/>
      <w:pPr>
        <w:ind w:left="720" w:hanging="360"/>
      </w:pPr>
      <w:rPr>
        <w:rFonts w:ascii="Symbol" w:hAnsi="Symbol" w:hint="default"/>
      </w:rPr>
    </w:lvl>
    <w:lvl w:ilvl="1" w:tplc="2E8614AC">
      <w:start w:val="1"/>
      <w:numFmt w:val="bullet"/>
      <w:lvlText w:val="o"/>
      <w:lvlJc w:val="left"/>
      <w:pPr>
        <w:ind w:left="1440" w:hanging="360"/>
      </w:pPr>
      <w:rPr>
        <w:rFonts w:ascii="Courier New" w:hAnsi="Courier New" w:hint="default"/>
      </w:rPr>
    </w:lvl>
    <w:lvl w:ilvl="2" w:tplc="890C3884">
      <w:start w:val="1"/>
      <w:numFmt w:val="bullet"/>
      <w:lvlText w:val=""/>
      <w:lvlJc w:val="left"/>
      <w:pPr>
        <w:ind w:left="2160" w:hanging="360"/>
      </w:pPr>
      <w:rPr>
        <w:rFonts w:ascii="Wingdings" w:hAnsi="Wingdings" w:hint="default"/>
      </w:rPr>
    </w:lvl>
    <w:lvl w:ilvl="3" w:tplc="799483DC">
      <w:start w:val="1"/>
      <w:numFmt w:val="bullet"/>
      <w:lvlText w:val=""/>
      <w:lvlJc w:val="left"/>
      <w:pPr>
        <w:ind w:left="2880" w:hanging="360"/>
      </w:pPr>
      <w:rPr>
        <w:rFonts w:ascii="Symbol" w:hAnsi="Symbol" w:hint="default"/>
      </w:rPr>
    </w:lvl>
    <w:lvl w:ilvl="4" w:tplc="285E0258">
      <w:start w:val="1"/>
      <w:numFmt w:val="bullet"/>
      <w:lvlText w:val="o"/>
      <w:lvlJc w:val="left"/>
      <w:pPr>
        <w:ind w:left="3600" w:hanging="360"/>
      </w:pPr>
      <w:rPr>
        <w:rFonts w:ascii="Courier New" w:hAnsi="Courier New" w:hint="default"/>
      </w:rPr>
    </w:lvl>
    <w:lvl w:ilvl="5" w:tplc="3894FA52">
      <w:start w:val="1"/>
      <w:numFmt w:val="bullet"/>
      <w:lvlText w:val=""/>
      <w:lvlJc w:val="left"/>
      <w:pPr>
        <w:ind w:left="4320" w:hanging="360"/>
      </w:pPr>
      <w:rPr>
        <w:rFonts w:ascii="Wingdings" w:hAnsi="Wingdings" w:hint="default"/>
      </w:rPr>
    </w:lvl>
    <w:lvl w:ilvl="6" w:tplc="9F6A364E">
      <w:start w:val="1"/>
      <w:numFmt w:val="bullet"/>
      <w:lvlText w:val=""/>
      <w:lvlJc w:val="left"/>
      <w:pPr>
        <w:ind w:left="5040" w:hanging="360"/>
      </w:pPr>
      <w:rPr>
        <w:rFonts w:ascii="Symbol" w:hAnsi="Symbol" w:hint="default"/>
      </w:rPr>
    </w:lvl>
    <w:lvl w:ilvl="7" w:tplc="C46AA088">
      <w:start w:val="1"/>
      <w:numFmt w:val="bullet"/>
      <w:lvlText w:val="o"/>
      <w:lvlJc w:val="left"/>
      <w:pPr>
        <w:ind w:left="5760" w:hanging="360"/>
      </w:pPr>
      <w:rPr>
        <w:rFonts w:ascii="Courier New" w:hAnsi="Courier New" w:hint="default"/>
      </w:rPr>
    </w:lvl>
    <w:lvl w:ilvl="8" w:tplc="11985F9A">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5"/>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A2C34"/>
    <w:rsid w:val="001B52CA"/>
    <w:rsid w:val="0026797A"/>
    <w:rsid w:val="0027587A"/>
    <w:rsid w:val="002A100A"/>
    <w:rsid w:val="002D66CC"/>
    <w:rsid w:val="00300812"/>
    <w:rsid w:val="00300F93"/>
    <w:rsid w:val="00327EB0"/>
    <w:rsid w:val="00356BE5"/>
    <w:rsid w:val="00373050"/>
    <w:rsid w:val="003E348C"/>
    <w:rsid w:val="00472F13"/>
    <w:rsid w:val="004921AB"/>
    <w:rsid w:val="00496DD9"/>
    <w:rsid w:val="004B1098"/>
    <w:rsid w:val="004B4F25"/>
    <w:rsid w:val="004E475F"/>
    <w:rsid w:val="00506FC3"/>
    <w:rsid w:val="00551272"/>
    <w:rsid w:val="005C214E"/>
    <w:rsid w:val="005C55E0"/>
    <w:rsid w:val="005D6523"/>
    <w:rsid w:val="006231FB"/>
    <w:rsid w:val="00665A1E"/>
    <w:rsid w:val="00686AA4"/>
    <w:rsid w:val="006B3525"/>
    <w:rsid w:val="00770DA0"/>
    <w:rsid w:val="007866CF"/>
    <w:rsid w:val="007911BE"/>
    <w:rsid w:val="00800077"/>
    <w:rsid w:val="00846BFA"/>
    <w:rsid w:val="008707C4"/>
    <w:rsid w:val="00872B58"/>
    <w:rsid w:val="00872BA4"/>
    <w:rsid w:val="008C54B8"/>
    <w:rsid w:val="008E3117"/>
    <w:rsid w:val="00923522"/>
    <w:rsid w:val="0093214A"/>
    <w:rsid w:val="00933F5C"/>
    <w:rsid w:val="00963CE4"/>
    <w:rsid w:val="00976EA9"/>
    <w:rsid w:val="00980D00"/>
    <w:rsid w:val="009A23AC"/>
    <w:rsid w:val="009B27C5"/>
    <w:rsid w:val="009C5702"/>
    <w:rsid w:val="00A015AF"/>
    <w:rsid w:val="00A106D4"/>
    <w:rsid w:val="00A111D5"/>
    <w:rsid w:val="00A42905"/>
    <w:rsid w:val="00A96D9C"/>
    <w:rsid w:val="00AD794D"/>
    <w:rsid w:val="00B51C91"/>
    <w:rsid w:val="00B542E4"/>
    <w:rsid w:val="00B77D28"/>
    <w:rsid w:val="00B87EF5"/>
    <w:rsid w:val="00B9167F"/>
    <w:rsid w:val="00BB0B34"/>
    <w:rsid w:val="00C06C4E"/>
    <w:rsid w:val="00C41661"/>
    <w:rsid w:val="00C43BD2"/>
    <w:rsid w:val="00C53B82"/>
    <w:rsid w:val="00C679AB"/>
    <w:rsid w:val="00C765AA"/>
    <w:rsid w:val="00CA3BE5"/>
    <w:rsid w:val="00CD2C98"/>
    <w:rsid w:val="00D330A6"/>
    <w:rsid w:val="00DA4B7C"/>
    <w:rsid w:val="00DB37A5"/>
    <w:rsid w:val="00DC5156"/>
    <w:rsid w:val="00E441BE"/>
    <w:rsid w:val="00EC75DD"/>
    <w:rsid w:val="00F13B97"/>
    <w:rsid w:val="00F2147E"/>
    <w:rsid w:val="00F9049A"/>
    <w:rsid w:val="00FB5DC0"/>
    <w:rsid w:val="00FC0AA2"/>
    <w:rsid w:val="00FF5EDD"/>
    <w:rsid w:val="015BEC2D"/>
    <w:rsid w:val="02D80B09"/>
    <w:rsid w:val="03AC70C7"/>
    <w:rsid w:val="044B722E"/>
    <w:rsid w:val="06EFDA24"/>
    <w:rsid w:val="0785D9ED"/>
    <w:rsid w:val="07AB7C2C"/>
    <w:rsid w:val="08C871F8"/>
    <w:rsid w:val="09335D90"/>
    <w:rsid w:val="0A003D7F"/>
    <w:rsid w:val="0A956F2B"/>
    <w:rsid w:val="0AABE7A1"/>
    <w:rsid w:val="0B773283"/>
    <w:rsid w:val="0B8E293D"/>
    <w:rsid w:val="0CD70CBB"/>
    <w:rsid w:val="0ECBA6C1"/>
    <w:rsid w:val="118102CB"/>
    <w:rsid w:val="1270B5FF"/>
    <w:rsid w:val="1304DF78"/>
    <w:rsid w:val="13DD2E39"/>
    <w:rsid w:val="1456AFF1"/>
    <w:rsid w:val="17199288"/>
    <w:rsid w:val="17F9C0E1"/>
    <w:rsid w:val="184944E6"/>
    <w:rsid w:val="19959142"/>
    <w:rsid w:val="1B1B04EC"/>
    <w:rsid w:val="1CA70DCC"/>
    <w:rsid w:val="1CCD3204"/>
    <w:rsid w:val="1E0CAAA6"/>
    <w:rsid w:val="1E2A045C"/>
    <w:rsid w:val="1E7FCA9A"/>
    <w:rsid w:val="1F0B7C10"/>
    <w:rsid w:val="2076B83F"/>
    <w:rsid w:val="214843CA"/>
    <w:rsid w:val="21966300"/>
    <w:rsid w:val="21FB9440"/>
    <w:rsid w:val="26964A84"/>
    <w:rsid w:val="2822FAC6"/>
    <w:rsid w:val="287CA59F"/>
    <w:rsid w:val="28FA64C5"/>
    <w:rsid w:val="29381CE4"/>
    <w:rsid w:val="2B41F1AA"/>
    <w:rsid w:val="31432EC9"/>
    <w:rsid w:val="328E971D"/>
    <w:rsid w:val="32B1B4D3"/>
    <w:rsid w:val="3425E892"/>
    <w:rsid w:val="3561FBEF"/>
    <w:rsid w:val="3638940F"/>
    <w:rsid w:val="365A67EB"/>
    <w:rsid w:val="38171751"/>
    <w:rsid w:val="38A843AE"/>
    <w:rsid w:val="3ADECAB6"/>
    <w:rsid w:val="3B4C6E60"/>
    <w:rsid w:val="3BC89253"/>
    <w:rsid w:val="3C67C158"/>
    <w:rsid w:val="3C89D880"/>
    <w:rsid w:val="3C97FA15"/>
    <w:rsid w:val="3E64F3E0"/>
    <w:rsid w:val="3E970261"/>
    <w:rsid w:val="3E9B9AC3"/>
    <w:rsid w:val="3EA8BBDF"/>
    <w:rsid w:val="3F511D67"/>
    <w:rsid w:val="3FB0452A"/>
    <w:rsid w:val="41614019"/>
    <w:rsid w:val="41E1BAB2"/>
    <w:rsid w:val="428E0291"/>
    <w:rsid w:val="433DFD85"/>
    <w:rsid w:val="434D9A81"/>
    <w:rsid w:val="46BFBC10"/>
    <w:rsid w:val="47075E4C"/>
    <w:rsid w:val="476173B4"/>
    <w:rsid w:val="487F0DF6"/>
    <w:rsid w:val="4A62FB43"/>
    <w:rsid w:val="4A9B697A"/>
    <w:rsid w:val="4AB86F41"/>
    <w:rsid w:val="4AEEFA02"/>
    <w:rsid w:val="4B08225F"/>
    <w:rsid w:val="4B193668"/>
    <w:rsid w:val="4BDACF6F"/>
    <w:rsid w:val="4D36CEE1"/>
    <w:rsid w:val="4DC759FD"/>
    <w:rsid w:val="5257C07C"/>
    <w:rsid w:val="52BF22C0"/>
    <w:rsid w:val="547CB4E0"/>
    <w:rsid w:val="54D2237C"/>
    <w:rsid w:val="55C75DB0"/>
    <w:rsid w:val="56277CA2"/>
    <w:rsid w:val="59405C85"/>
    <w:rsid w:val="5A8F51DF"/>
    <w:rsid w:val="5ADC2CE6"/>
    <w:rsid w:val="5BB66BB1"/>
    <w:rsid w:val="5C8E5A2B"/>
    <w:rsid w:val="5CD6F7C8"/>
    <w:rsid w:val="5D47137D"/>
    <w:rsid w:val="5E4C9A5B"/>
    <w:rsid w:val="5FA213C4"/>
    <w:rsid w:val="6002AB7F"/>
    <w:rsid w:val="6010CC80"/>
    <w:rsid w:val="60F402B8"/>
    <w:rsid w:val="62BD3D49"/>
    <w:rsid w:val="6444DFAF"/>
    <w:rsid w:val="6551DB58"/>
    <w:rsid w:val="65943897"/>
    <w:rsid w:val="65DFD2A5"/>
    <w:rsid w:val="65E9D2E5"/>
    <w:rsid w:val="665CAE10"/>
    <w:rsid w:val="67A7E7A3"/>
    <w:rsid w:val="6A047B2A"/>
    <w:rsid w:val="6B5ECC4A"/>
    <w:rsid w:val="6C63E091"/>
    <w:rsid w:val="6CBDC2CC"/>
    <w:rsid w:val="6D1B4991"/>
    <w:rsid w:val="6D91AC8D"/>
    <w:rsid w:val="70622CEC"/>
    <w:rsid w:val="71014F7F"/>
    <w:rsid w:val="71312527"/>
    <w:rsid w:val="722E4842"/>
    <w:rsid w:val="729D1509"/>
    <w:rsid w:val="73B2F60B"/>
    <w:rsid w:val="73CA18A3"/>
    <w:rsid w:val="74037FFD"/>
    <w:rsid w:val="74CD7626"/>
    <w:rsid w:val="75388502"/>
    <w:rsid w:val="76C270FB"/>
    <w:rsid w:val="7A251283"/>
    <w:rsid w:val="7B9A6D8D"/>
    <w:rsid w:val="7D5128D7"/>
    <w:rsid w:val="7D7C76F4"/>
    <w:rsid w:val="7DF0AAE8"/>
    <w:rsid w:val="7DF38824"/>
    <w:rsid w:val="7F204854"/>
    <w:rsid w:val="7FF9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inits/ed/edfacts/eden/non-xml/fs009-1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9b5232a10fc4ea99bfaaf19c3757437" TargetMode="External"/><Relationship Id="rId17" Type="http://schemas.openxmlformats.org/officeDocument/2006/relationships/fontTable" Target="fontTable.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elizabeth.jankowski@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Oregon's Indicator B2 Dropout Rate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 &amp; B2'!$D$23</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B2'!$A$32:$A$38</c:f>
              <c:strCache>
                <c:ptCount val="6"/>
                <c:pt idx="0">
                  <c:v>2014-2015</c:v>
                </c:pt>
                <c:pt idx="1">
                  <c:v>2015-2016</c:v>
                </c:pt>
                <c:pt idx="2">
                  <c:v>2016-2017</c:v>
                </c:pt>
                <c:pt idx="3">
                  <c:v>2017-2018</c:v>
                </c:pt>
                <c:pt idx="4">
                  <c:v>2018-2019</c:v>
                </c:pt>
                <c:pt idx="5">
                  <c:v>2019-2020</c:v>
                </c:pt>
              </c:strCache>
              <c:extLst/>
            </c:strRef>
          </c:cat>
          <c:val>
            <c:numRef>
              <c:f>'B1 &amp; B2'!$D$32:$D$38</c:f>
              <c:numCache>
                <c:formatCode>0.00%</c:formatCode>
                <c:ptCount val="6"/>
                <c:pt idx="0">
                  <c:v>0.25010688328345448</c:v>
                </c:pt>
                <c:pt idx="1">
                  <c:v>0.2334654704777801</c:v>
                </c:pt>
                <c:pt idx="2">
                  <c:v>0.23359676530049622</c:v>
                </c:pt>
                <c:pt idx="3">
                  <c:v>0.20927643784786643</c:v>
                </c:pt>
                <c:pt idx="4">
                  <c:v>0.1951741583965752</c:v>
                </c:pt>
                <c:pt idx="5">
                  <c:v>0.1287281123725226</c:v>
                </c:pt>
              </c:numCache>
              <c:extLst/>
            </c:numRef>
          </c:val>
          <c:smooth val="0"/>
          <c:extLst>
            <c:ext xmlns:c16="http://schemas.microsoft.com/office/drawing/2014/chart" uri="{C3380CC4-5D6E-409C-BE32-E72D297353CC}">
              <c16:uniqueId val="{00000000-68A4-42AE-9297-FC9221947E2F}"/>
            </c:ext>
          </c:extLst>
        </c:ser>
        <c:dLbls>
          <c:dLblPos val="t"/>
          <c:showLegendKey val="0"/>
          <c:showVal val="1"/>
          <c:showCatName val="0"/>
          <c:showSerName val="0"/>
          <c:showPercent val="0"/>
          <c:showBubbleSize val="0"/>
        </c:dLbls>
        <c:marker val="1"/>
        <c:smooth val="0"/>
        <c:axId val="588617488"/>
        <c:axId val="588618472"/>
      </c:lineChart>
      <c:catAx>
        <c:axId val="58861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618472"/>
        <c:crosses val="autoZero"/>
        <c:auto val="1"/>
        <c:lblAlgn val="ctr"/>
        <c:lblOffset val="100"/>
        <c:noMultiLvlLbl val="0"/>
      </c:catAx>
      <c:valAx>
        <c:axId val="588618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61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47477c3-cea5-4644-a2b9-72f12b741c16"/>
    <ds:schemaRef ds:uri="http://purl.org/dc/terms/"/>
    <ds:schemaRef ds:uri="http://schemas.openxmlformats.org/package/2006/metadata/core-propertie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4AFF1E25-6E0A-4A22-9164-764792397BD2}"/>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2021-12-17T17:32:00Z</dcterms:created>
  <dcterms:modified xsi:type="dcterms:W3CDTF">2021-12-17T17:32:00Z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